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auto"/>
          <w:kern w:val="0"/>
          <w:sz w:val="44"/>
          <w:szCs w:val="44"/>
        </w:rPr>
      </w:pPr>
      <w:r>
        <w:rPr>
          <w:rFonts w:hint="eastAsia" w:ascii="仿宋_GB2312" w:hAnsi="仿宋_GB2312" w:eastAsia="仿宋_GB2312" w:cs="仿宋_GB2312"/>
          <w:b/>
          <w:bCs/>
          <w:color w:val="auto"/>
          <w:kern w:val="0"/>
          <w:sz w:val="44"/>
          <w:szCs w:val="44"/>
          <w:lang w:val="en-US" w:eastAsia="zh-CN"/>
        </w:rPr>
        <w:t>菏泽职业学院</w:t>
      </w:r>
      <w:r>
        <w:rPr>
          <w:rFonts w:hint="eastAsia" w:ascii="仿宋_GB2312" w:hAnsi="仿宋_GB2312" w:eastAsia="仿宋_GB2312" w:cs="仿宋_GB2312"/>
          <w:b/>
          <w:bCs/>
          <w:color w:val="auto"/>
          <w:kern w:val="0"/>
          <w:sz w:val="44"/>
          <w:szCs w:val="44"/>
        </w:rPr>
        <w:t>20</w:t>
      </w:r>
      <w:r>
        <w:rPr>
          <w:rFonts w:hint="eastAsia" w:ascii="仿宋_GB2312" w:hAnsi="仿宋_GB2312" w:eastAsia="仿宋_GB2312" w:cs="仿宋_GB2312"/>
          <w:b/>
          <w:bCs/>
          <w:color w:val="auto"/>
          <w:kern w:val="0"/>
          <w:sz w:val="44"/>
          <w:szCs w:val="44"/>
          <w:lang w:val="en-US" w:eastAsia="zh-CN"/>
        </w:rPr>
        <w:t>20</w:t>
      </w:r>
      <w:r>
        <w:rPr>
          <w:rFonts w:hint="eastAsia" w:ascii="仿宋_GB2312" w:hAnsi="仿宋_GB2312" w:eastAsia="仿宋_GB2312" w:cs="仿宋_GB2312"/>
          <w:b/>
          <w:bCs/>
          <w:color w:val="auto"/>
          <w:kern w:val="0"/>
          <w:sz w:val="44"/>
          <w:szCs w:val="44"/>
        </w:rPr>
        <w:t>年评估工作</w:t>
      </w:r>
    </w:p>
    <w:p>
      <w:pPr>
        <w:ind w:firstLine="3092" w:firstLineChars="700"/>
        <w:jc w:val="both"/>
        <w:rPr>
          <w:rFonts w:hint="eastAsia" w:ascii="仿宋_GB2312" w:hAnsi="仿宋_GB2312" w:eastAsia="仿宋_GB2312" w:cs="仿宋_GB2312"/>
          <w:b/>
          <w:bCs/>
          <w:color w:val="auto"/>
          <w:kern w:val="0"/>
          <w:sz w:val="44"/>
          <w:szCs w:val="44"/>
        </w:rPr>
      </w:pPr>
      <w:r>
        <w:rPr>
          <w:rFonts w:hint="eastAsia" w:ascii="仿宋_GB2312" w:hAnsi="仿宋_GB2312" w:eastAsia="仿宋_GB2312" w:cs="仿宋_GB2312"/>
          <w:b/>
          <w:bCs/>
          <w:color w:val="auto"/>
          <w:kern w:val="0"/>
          <w:sz w:val="44"/>
          <w:szCs w:val="44"/>
        </w:rPr>
        <w:t>自评报告</w:t>
      </w:r>
    </w:p>
    <w:p>
      <w:pPr>
        <w:spacing w:line="240" w:lineRule="auto"/>
        <w:ind w:firstLine="600" w:firstLineChars="2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rPr>
        <w:t>为贯彻落实《国务院关于加快发展现代职业教育的决定》，推动高等职业院校坚持“以立德树人为根本，以服务发展为宗旨，以促进就业为导向”，深化办学机制和教育教学改革，全面提高高等职业院校适应社会需求能力和水平，</w:t>
      </w:r>
      <w:r>
        <w:rPr>
          <w:rFonts w:hint="eastAsia" w:ascii="仿宋_GB2312" w:hAnsi="仿宋_GB2312" w:eastAsia="仿宋_GB2312" w:cs="仿宋_GB2312"/>
          <w:color w:val="000000"/>
          <w:kern w:val="0"/>
          <w:sz w:val="30"/>
          <w:szCs w:val="30"/>
          <w:lang w:val="en-US" w:eastAsia="zh-CN"/>
        </w:rPr>
        <w:t>根据《国务院教育督导委员会办公室关于开展 2020 年全国职业院校评估工作的通知》要求，对我院办学情况进行了自评，现将自评情况报告如下。</w:t>
      </w:r>
    </w:p>
    <w:p>
      <w:pPr>
        <w:spacing w:line="24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一、办学基础能力</w:t>
      </w:r>
    </w:p>
    <w:p>
      <w:pPr>
        <w:spacing w:line="240" w:lineRule="auto"/>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1.学院基本概况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firstLine="600" w:firstLineChars="200"/>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菏泽职业学院是经山东省人民政府批准、国家教育部备案的国办全日制普通高等学校。学院坐落于美丽的牡丹之都—山东省菏泽市，位于菏泽市牡丹区长城路999号，校园占地近千亩，内有万花湖130亩，倾力打造江北最美湖景大学。另有齐鲁工业大学、牡丹区国花学校两个分校区。拥有10万平方米的国家级产教融合实训基地，实训设备价值1.1亿元。其中，包括融汇工业4.0、机器人、5G通讯、无人机、无人驾驶、智慧城市的人工智能产学研中心，装备制造、汽车检修的高端装备实训中心，全息影像、VR展示、大数据资源的中国美术学院菏泽大学科技园，精品酒店、航空乘务、高档琴房的文旅幼教实训中心、项目路演、网红录播、物流体验的菏泽市大学生创业创新基地。</w:t>
      </w:r>
    </w:p>
    <w:p>
      <w:pPr>
        <w:bidi w:val="0"/>
        <w:spacing w:line="240" w:lineRule="auto"/>
        <w:ind w:firstLine="600" w:firstLineChars="200"/>
        <w:jc w:val="left"/>
        <w:rPr>
          <w:rFonts w:hint="eastAsia" w:ascii="仿宋_GB2312" w:hAnsi="仿宋_GB2312" w:eastAsia="仿宋_GB2312" w:cs="仿宋_GB2312"/>
          <w:color w:val="000000"/>
          <w:kern w:val="0"/>
          <w:sz w:val="30"/>
          <w:szCs w:val="30"/>
          <w:lang w:val="en-US" w:eastAsia="zh-CN" w:bidi="ar-SA"/>
        </w:rPr>
      </w:pPr>
      <w:r>
        <w:rPr>
          <w:rFonts w:hint="eastAsia" w:ascii="仿宋" w:hAnsi="仿宋" w:eastAsia="仿宋" w:cs="仿宋"/>
          <w:sz w:val="30"/>
          <w:szCs w:val="30"/>
          <w:lang w:val="en-US" w:eastAsia="zh-CN"/>
        </w:rPr>
        <w:t>学院</w:t>
      </w:r>
      <w:r>
        <w:rPr>
          <w:rFonts w:hint="eastAsia" w:ascii="仿宋_GB2312" w:hAnsi="仿宋_GB2312" w:eastAsia="仿宋_GB2312" w:cs="仿宋_GB2312"/>
          <w:color w:val="000000"/>
          <w:kern w:val="0"/>
          <w:sz w:val="30"/>
          <w:szCs w:val="30"/>
          <w:lang w:val="en-US" w:eastAsia="zh-CN" w:bidi="ar-SA"/>
        </w:rPr>
        <w:t>设商贸物流系、机电工程系、交通工程系、信息工程系、经济管理系、食品科学与化学工程系、建筑工程系、旅游管理系、退役军人教育学院、国际交流学院、创新创业学院共11个院系。开设有电子商务、物流管理、会计、互联网金融、机电一体化技术、工业机器人技术、光伏发电技术与应用、电气自动化技术、供用电技术、计算机应用技术、物联网技术、动漫制作技术、汽车检测与维修技术、新能源汽车技术、汽车营销与服务、应用化工技术、精细化工技术、食品生物技术、建筑工程技术、建筑装饰工程技术、工程造价、旅游管理、空中乘务、音乐表演、动物医学、公共事务管理、幼儿发展与健康管理等27个专业，全日制在校生规模11000人，年培训规模10000人。学院拥有山东省高等职业教育品牌专业群2个--电商物流专业群、人工智能专业群；山东省高等职业教育重点专业6个—电子商务、物流管理、物联网技术、机电一体化、电气自动化、工业机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firstLine="600" w:firstLineChars="200"/>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学院秉承“修德、明志、精工、强能”的校训，着力打造“笃学上进，著善尚美”的校风，坚持高端规划，高点定位，内涵发展，特色发展，努力建设扎根菏泽大地、符合国际标准、具有中国气派、形成优势品牌的鲁苏豫皖交界地区一流高等职业院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40" w:lineRule="auto"/>
        <w:ind w:right="0" w:firstLine="600" w:firstLineChars="200"/>
        <w:textAlignment w:val="auto"/>
        <w:rPr>
          <w:rFonts w:hint="eastAsia" w:ascii="楷体_GB2312" w:hAnsi="楷体_GB2312" w:eastAsia="楷体_GB2312" w:cs="楷体_GB2312"/>
          <w:color w:val="000000"/>
          <w:kern w:val="0"/>
          <w:sz w:val="30"/>
          <w:szCs w:val="30"/>
          <w:lang w:val="en-US" w:eastAsia="zh-CN" w:bidi="ar-SA"/>
        </w:rPr>
      </w:pPr>
      <w:r>
        <w:rPr>
          <w:rFonts w:hint="eastAsia" w:ascii="楷体_GB2312" w:hAnsi="楷体_GB2312" w:eastAsia="楷体_GB2312" w:cs="楷体_GB2312"/>
          <w:color w:val="000000"/>
          <w:kern w:val="0"/>
          <w:sz w:val="30"/>
          <w:szCs w:val="30"/>
          <w:lang w:val="en-US" w:eastAsia="zh-CN" w:bidi="ar-SA"/>
        </w:rPr>
        <w:t>2.学院办学经费收入情况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firstLine="600" w:firstLineChars="2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rPr>
        <w:t>学校积极筹措办学经费，优化资源配置，提高投入产出效益。办学经费的主要来源有国家财政性教育经费、事业收入</w:t>
      </w:r>
      <w:r>
        <w:rPr>
          <w:rFonts w:hint="eastAsia" w:ascii="仿宋_GB2312" w:hAnsi="仿宋_GB2312" w:eastAsia="仿宋_GB2312" w:cs="仿宋_GB2312"/>
          <w:color w:val="000000"/>
          <w:kern w:val="0"/>
          <w:sz w:val="30"/>
          <w:szCs w:val="30"/>
          <w:lang w:eastAsia="zh-CN"/>
        </w:rPr>
        <w:t>、学费、</w:t>
      </w:r>
      <w:r>
        <w:rPr>
          <w:rFonts w:hint="eastAsia" w:ascii="仿宋_GB2312" w:hAnsi="仿宋_GB2312" w:eastAsia="仿宋_GB2312" w:cs="仿宋_GB2312"/>
          <w:color w:val="000000"/>
          <w:kern w:val="0"/>
          <w:sz w:val="30"/>
          <w:szCs w:val="30"/>
          <w:lang w:val="en-US" w:eastAsia="zh-CN"/>
        </w:rPr>
        <w:t>一般公共预算安排的教育经费等。</w:t>
      </w:r>
    </w:p>
    <w:p>
      <w:pPr>
        <w:widowControl/>
        <w:shd w:val="clear" w:color="auto" w:fill="FFFFFF"/>
        <w:spacing w:line="240" w:lineRule="auto"/>
        <w:ind w:firstLine="20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表1 经费收入情况</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1701"/>
        <w:gridCol w:w="1701"/>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581" w:type="dxa"/>
            <w:tcBorders>
              <w:tl2br w:val="single" w:color="auto" w:sz="4" w:space="0"/>
            </w:tcBorders>
            <w:noWrap w:val="0"/>
            <w:vAlign w:val="center"/>
          </w:tcPr>
          <w:p>
            <w:pPr>
              <w:widowControl/>
              <w:shd w:val="clear" w:color="auto" w:fill="FFFFFF"/>
              <w:spacing w:line="240" w:lineRule="auto"/>
              <w:jc w:val="center"/>
              <w:rPr>
                <w:rFonts w:ascii="仿宋" w:hAnsi="仿宋" w:eastAsia="仿宋" w:cs="宋体"/>
                <w:b/>
                <w:color w:val="000000"/>
                <w:kern w:val="0"/>
                <w:sz w:val="30"/>
                <w:szCs w:val="30"/>
              </w:rPr>
            </w:pPr>
            <w:r>
              <w:rPr>
                <w:rFonts w:ascii="仿宋" w:hAnsi="仿宋" w:eastAsia="仿宋" w:cs="宋体"/>
                <w:b/>
                <w:color w:val="000000"/>
                <w:kern w:val="0"/>
                <w:sz w:val="30"/>
                <w:szCs w:val="30"/>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107950</wp:posOffset>
                      </wp:positionV>
                      <wp:extent cx="74231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48665" cy="275590"/>
                              </a:xfrm>
                              <a:prstGeom prst="rect">
                                <a:avLst/>
                              </a:prstGeom>
                              <a:noFill/>
                              <a:ln>
                                <a:noFill/>
                              </a:ln>
                              <a:effectLst/>
                            </wps:spPr>
                            <wps:style>
                              <a:lnRef idx="0">
                                <a:scrgbClr r="0" g="0" b="0"/>
                              </a:lnRef>
                              <a:fillRef idx="0">
                                <a:scrgbClr r="0" g="0" b="0"/>
                              </a:fillRef>
                              <a:effectRef idx="0">
                                <a:scrgbClr r="0" g="0" b="0"/>
                              </a:effectRef>
                              <a:fontRef idx="minor">
                                <a:schemeClr val="tx1"/>
                              </a:fontRef>
                            </wps:style>
                            <wps:txbx>
                              <w:txbxContent>
                                <w:p>
                                  <w:pPr>
                                    <w:pStyle w:val="3"/>
                                    <w:spacing w:before="0" w:beforeAutospacing="0" w:after="0" w:afterAutospacing="0"/>
                                  </w:pPr>
                                  <w:r>
                                    <w:rPr>
                                      <w:rFonts w:hint="eastAsia" w:ascii="Calibri" w:cs="Times New Roman"/>
                                      <w:color w:val="000000"/>
                                      <w:sz w:val="22"/>
                                      <w:szCs w:val="22"/>
                                    </w:rPr>
                                    <w:t>（万元）</w:t>
                                  </w:r>
                                </w:p>
                              </w:txbxContent>
                            </wps:txbx>
                            <wps:bodyPr vertOverflow="clip" horzOverflow="clip" wrap="none" rtlCol="0" anchor="t">
                              <a:spAutoFit/>
                            </wps:bodyPr>
                          </wps:wsp>
                        </a:graphicData>
                      </a:graphic>
                    </wp:anchor>
                  </w:drawing>
                </mc:Choice>
                <mc:Fallback>
                  <w:pict>
                    <v:shape id="_x0000_s1026" o:spid="_x0000_s1026" o:spt="202" type="#_x0000_t202" style="position:absolute;left:0pt;margin-left:0.95pt;margin-top:8.5pt;height:22.8pt;width:58.45pt;mso-wrap-style:none;z-index:251661312;mso-width-relative:page;mso-height-relative:page;" filled="f" stroked="f" coordsize="21600,21600" o:gfxdata="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2kiJdMAAAAHAQAADwAAAAAAAAAB&#10;ACAAAAAiAAAAZHJzL2Rvd25yZXYueG1sUEsBAhQAFAAAAAgAh07iQBio2DzcAQAAswMAAA4AAAAA&#10;AAAAAQAgAAAAIgEAAGRycy9lMm9Eb2MueG1sUEsFBgAAAAAGAAYAWQEAAHAFAAAAAA==&#10;">
                      <v:fill on="f" focussize="0,0"/>
                      <v:stroke on="f"/>
                      <v:imagedata o:title=""/>
                      <o:lock v:ext="edit" aspectratio="f"/>
                      <v:textbox style="mso-fit-shape-to-text:t;">
                        <w:txbxContent>
                          <w:p>
                            <w:pPr>
                              <w:pStyle w:val="3"/>
                              <w:spacing w:before="0" w:beforeAutospacing="0" w:after="0" w:afterAutospacing="0"/>
                            </w:pPr>
                            <w:r>
                              <w:rPr>
                                <w:rFonts w:hint="eastAsia" w:ascii="Calibri" w:cs="Times New Roman"/>
                                <w:color w:val="000000"/>
                                <w:sz w:val="22"/>
                                <w:szCs w:val="22"/>
                              </w:rPr>
                              <w:t>（万元）</w:t>
                            </w:r>
                          </w:p>
                        </w:txbxContent>
                      </v:textbox>
                    </v:shape>
                  </w:pict>
                </mc:Fallback>
              </mc:AlternateContent>
            </w:r>
            <w:r>
              <w:rPr>
                <w:rFonts w:ascii="仿宋" w:hAnsi="仿宋" w:eastAsia="仿宋" w:cs="宋体"/>
                <w:b/>
                <w:color w:val="000000"/>
                <w:kern w:val="0"/>
                <w:sz w:val="30"/>
                <w:szCs w:val="30"/>
              </w:rPr>
              <mc:AlternateContent>
                <mc:Choice Requires="wps">
                  <w:drawing>
                    <wp:anchor distT="0" distB="0" distL="114300" distR="114300" simplePos="0" relativeHeight="251658240" behindDoc="0" locked="0" layoutInCell="1" allowOverlap="1">
                      <wp:simplePos x="0" y="0"/>
                      <wp:positionH relativeFrom="column">
                        <wp:posOffset>1352550</wp:posOffset>
                      </wp:positionH>
                      <wp:positionV relativeFrom="paragraph">
                        <wp:posOffset>38100</wp:posOffset>
                      </wp:positionV>
                      <wp:extent cx="462915" cy="2895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66725" cy="275590"/>
                              </a:xfrm>
                              <a:prstGeom prst="rect">
                                <a:avLst/>
                              </a:prstGeom>
                              <a:noFill/>
                              <a:ln>
                                <a:noFill/>
                              </a:ln>
                              <a:effectLst/>
                            </wps:spPr>
                            <wps:style>
                              <a:lnRef idx="0">
                                <a:scrgbClr r="0" g="0" b="0"/>
                              </a:lnRef>
                              <a:fillRef idx="0">
                                <a:scrgbClr r="0" g="0" b="0"/>
                              </a:fillRef>
                              <a:effectRef idx="0">
                                <a:scrgbClr r="0" g="0" b="0"/>
                              </a:effectRef>
                              <a:fontRef idx="minor">
                                <a:schemeClr val="tx1"/>
                              </a:fontRef>
                            </wps:style>
                            <wps:txbx>
                              <w:txbxContent>
                                <w:p>
                                  <w:pPr>
                                    <w:pStyle w:val="3"/>
                                    <w:spacing w:before="0" w:beforeAutospacing="0" w:after="0" w:afterAutospacing="0"/>
                                  </w:pPr>
                                  <w:r>
                                    <w:rPr>
                                      <w:rFonts w:hint="eastAsia" w:ascii="Calibri" w:cs="Times New Roman"/>
                                      <w:color w:val="000000"/>
                                      <w:sz w:val="22"/>
                                      <w:szCs w:val="22"/>
                                    </w:rPr>
                                    <w:t>年度</w:t>
                                  </w:r>
                                </w:p>
                              </w:txbxContent>
                            </wps:txbx>
                            <wps:bodyPr vertOverflow="clip" horzOverflow="clip" wrap="none" rtlCol="0" anchor="t">
                              <a:spAutoFit/>
                            </wps:bodyPr>
                          </wps:wsp>
                        </a:graphicData>
                      </a:graphic>
                    </wp:anchor>
                  </w:drawing>
                </mc:Choice>
                <mc:Fallback>
                  <w:pict>
                    <v:shape id="_x0000_s1026" o:spid="_x0000_s1026" o:spt="202" type="#_x0000_t202" style="position:absolute;left:0pt;margin-left:106.5pt;margin-top:3pt;height:22.8pt;width:36.45pt;mso-wrap-style:none;z-index:251658240;mso-width-relative:page;mso-height-relative:page;" filled="f" stroked="f" coordsize="21600,21600" o:gfxdata="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Z9jBtUAAAAIAQAADwAAAAAA&#10;AAABACAAAAAiAAAAZHJzL2Rvd25yZXYueG1sUEsBAhQAFAAAAAgAh07iQB60wv7dAQAAtQMAAA4A&#10;AAAAAAAAAQAgAAAAJAEAAGRycy9lMm9Eb2MueG1sUEsFBgAAAAAGAAYAWQEAAHMFAAAAAA==&#10;">
                      <v:fill on="f" focussize="0,0"/>
                      <v:stroke on="f"/>
                      <v:imagedata o:title=""/>
                      <o:lock v:ext="edit" aspectratio="f"/>
                      <v:textbox style="mso-fit-shape-to-text:t;">
                        <w:txbxContent>
                          <w:p>
                            <w:pPr>
                              <w:pStyle w:val="3"/>
                              <w:spacing w:before="0" w:beforeAutospacing="0" w:after="0" w:afterAutospacing="0"/>
                            </w:pPr>
                            <w:r>
                              <w:rPr>
                                <w:rFonts w:hint="eastAsia" w:ascii="Calibri" w:cs="Times New Roman"/>
                                <w:color w:val="000000"/>
                                <w:sz w:val="22"/>
                                <w:szCs w:val="22"/>
                              </w:rPr>
                              <w:t>年度</w:t>
                            </w:r>
                          </w:p>
                        </w:txbxContent>
                      </v:textbox>
                    </v:shape>
                  </w:pict>
                </mc:Fallback>
              </mc:AlternateContent>
            </w:r>
          </w:p>
        </w:tc>
        <w:tc>
          <w:tcPr>
            <w:tcW w:w="1701" w:type="dxa"/>
            <w:noWrap w:val="0"/>
            <w:vAlign w:val="center"/>
          </w:tcPr>
          <w:p>
            <w:pPr>
              <w:widowControl/>
              <w:shd w:val="clear" w:color="auto" w:fill="FFFFFF"/>
              <w:spacing w:line="240" w:lineRule="auto"/>
              <w:jc w:val="center"/>
              <w:rPr>
                <w:rFonts w:hint="eastAsia" w:ascii="仿宋" w:hAnsi="仿宋" w:eastAsia="仿宋" w:cs="宋体"/>
                <w:b/>
                <w:color w:val="000000"/>
                <w:kern w:val="0"/>
                <w:sz w:val="24"/>
                <w:szCs w:val="24"/>
                <w:lang w:eastAsia="zh-CN"/>
              </w:rPr>
            </w:pPr>
            <w:r>
              <w:rPr>
                <w:rFonts w:hint="eastAsia" w:ascii="仿宋" w:hAnsi="仿宋" w:eastAsia="仿宋" w:cs="宋体"/>
                <w:b/>
                <w:color w:val="000000"/>
                <w:kern w:val="0"/>
                <w:sz w:val="24"/>
                <w:szCs w:val="24"/>
              </w:rPr>
              <w:t>201</w:t>
            </w:r>
            <w:r>
              <w:rPr>
                <w:rFonts w:hint="eastAsia" w:ascii="仿宋" w:hAnsi="仿宋" w:eastAsia="仿宋" w:cs="宋体"/>
                <w:b/>
                <w:color w:val="000000"/>
                <w:kern w:val="0"/>
                <w:sz w:val="24"/>
                <w:szCs w:val="24"/>
                <w:lang w:val="en-US" w:eastAsia="zh-CN"/>
              </w:rPr>
              <w:t>7</w:t>
            </w:r>
          </w:p>
        </w:tc>
        <w:tc>
          <w:tcPr>
            <w:tcW w:w="1701" w:type="dxa"/>
            <w:noWrap w:val="0"/>
            <w:vAlign w:val="center"/>
          </w:tcPr>
          <w:p>
            <w:pPr>
              <w:widowControl/>
              <w:shd w:val="clear" w:color="auto" w:fill="FFFFFF"/>
              <w:spacing w:line="240" w:lineRule="auto"/>
              <w:jc w:val="center"/>
              <w:rPr>
                <w:rFonts w:hint="eastAsia" w:ascii="仿宋" w:hAnsi="仿宋" w:eastAsia="仿宋" w:cs="宋体"/>
                <w:b/>
                <w:color w:val="000000"/>
                <w:kern w:val="0"/>
                <w:sz w:val="24"/>
                <w:szCs w:val="24"/>
                <w:lang w:eastAsia="zh-CN"/>
              </w:rPr>
            </w:pPr>
            <w:r>
              <w:rPr>
                <w:rFonts w:hint="eastAsia" w:ascii="仿宋" w:hAnsi="仿宋" w:eastAsia="仿宋" w:cs="宋体"/>
                <w:b/>
                <w:color w:val="000000"/>
                <w:kern w:val="0"/>
                <w:sz w:val="24"/>
                <w:szCs w:val="24"/>
              </w:rPr>
              <w:t>201</w:t>
            </w:r>
            <w:r>
              <w:rPr>
                <w:rFonts w:hint="eastAsia" w:ascii="仿宋" w:hAnsi="仿宋" w:eastAsia="仿宋" w:cs="宋体"/>
                <w:b/>
                <w:color w:val="000000"/>
                <w:kern w:val="0"/>
                <w:sz w:val="24"/>
                <w:szCs w:val="24"/>
                <w:lang w:val="en-US" w:eastAsia="zh-CN"/>
              </w:rPr>
              <w:t>8</w:t>
            </w:r>
          </w:p>
        </w:tc>
        <w:tc>
          <w:tcPr>
            <w:tcW w:w="1539" w:type="dxa"/>
            <w:noWrap w:val="0"/>
            <w:vAlign w:val="center"/>
          </w:tcPr>
          <w:p>
            <w:pPr>
              <w:widowControl/>
              <w:shd w:val="clear" w:color="auto" w:fill="FFFFFF"/>
              <w:spacing w:line="240" w:lineRule="auto"/>
              <w:jc w:val="center"/>
              <w:rPr>
                <w:rFonts w:hint="eastAsia" w:ascii="仿宋" w:hAnsi="仿宋" w:eastAsia="仿宋" w:cs="宋体"/>
                <w:b/>
                <w:color w:val="000000"/>
                <w:kern w:val="0"/>
                <w:sz w:val="24"/>
                <w:szCs w:val="24"/>
                <w:lang w:eastAsia="zh-CN"/>
              </w:rPr>
            </w:pPr>
            <w:r>
              <w:rPr>
                <w:rFonts w:hint="eastAsia" w:ascii="仿宋" w:hAnsi="仿宋" w:eastAsia="仿宋" w:cs="宋体"/>
                <w:b/>
                <w:color w:val="000000"/>
                <w:kern w:val="0"/>
                <w:sz w:val="24"/>
                <w:szCs w:val="24"/>
              </w:rPr>
              <w:t>201</w:t>
            </w:r>
            <w:r>
              <w:rPr>
                <w:rFonts w:hint="eastAsia" w:ascii="仿宋" w:hAnsi="仿宋" w:eastAsia="仿宋" w:cs="宋体"/>
                <w:b/>
                <w:color w:val="000000"/>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581" w:type="dxa"/>
            <w:noWrap w:val="0"/>
            <w:vAlign w:val="center"/>
          </w:tcPr>
          <w:p>
            <w:pPr>
              <w:widowControl/>
              <w:shd w:val="clear" w:color="auto" w:fill="FFFFFF"/>
              <w:spacing w:line="24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国家财政性教育经费</w:t>
            </w:r>
          </w:p>
        </w:tc>
        <w:tc>
          <w:tcPr>
            <w:tcW w:w="1701"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5504.52 </w:t>
            </w:r>
          </w:p>
        </w:tc>
        <w:tc>
          <w:tcPr>
            <w:tcW w:w="1701"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18175.17 </w:t>
            </w:r>
          </w:p>
        </w:tc>
        <w:tc>
          <w:tcPr>
            <w:tcW w:w="1539"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15913.08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81" w:type="dxa"/>
            <w:noWrap w:val="0"/>
            <w:vAlign w:val="center"/>
          </w:tcPr>
          <w:p>
            <w:pPr>
              <w:widowControl/>
              <w:shd w:val="clear" w:color="auto" w:fill="FFFFFF"/>
              <w:spacing w:line="24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事业收入</w:t>
            </w:r>
          </w:p>
        </w:tc>
        <w:tc>
          <w:tcPr>
            <w:tcW w:w="1701"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1528.84 </w:t>
            </w:r>
          </w:p>
        </w:tc>
        <w:tc>
          <w:tcPr>
            <w:tcW w:w="1701"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3486.77  </w:t>
            </w:r>
          </w:p>
        </w:tc>
        <w:tc>
          <w:tcPr>
            <w:tcW w:w="1539"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5699.18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581" w:type="dxa"/>
            <w:noWrap w:val="0"/>
            <w:vAlign w:val="center"/>
          </w:tcPr>
          <w:p>
            <w:pPr>
              <w:widowControl/>
              <w:shd w:val="clear" w:color="auto" w:fill="FFFFFF"/>
              <w:spacing w:line="240"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lang w:val="en-US" w:eastAsia="zh-CN"/>
              </w:rPr>
              <w:t xml:space="preserve">其中：学费收入 </w:t>
            </w:r>
          </w:p>
        </w:tc>
        <w:tc>
          <w:tcPr>
            <w:tcW w:w="1701"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1153.86 </w:t>
            </w:r>
          </w:p>
        </w:tc>
        <w:tc>
          <w:tcPr>
            <w:tcW w:w="1701"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3486.77 </w:t>
            </w:r>
          </w:p>
        </w:tc>
        <w:tc>
          <w:tcPr>
            <w:tcW w:w="1539"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4080.48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81" w:type="dxa"/>
            <w:noWrap w:val="0"/>
            <w:vAlign w:val="center"/>
          </w:tcPr>
          <w:p>
            <w:pPr>
              <w:widowControl/>
              <w:shd w:val="clear" w:color="auto" w:fill="FFFFFF"/>
              <w:spacing w:line="240" w:lineRule="auto"/>
              <w:jc w:val="both"/>
              <w:rPr>
                <w:rFonts w:ascii="仿宋" w:hAnsi="仿宋" w:eastAsia="仿宋" w:cs="宋体"/>
                <w:color w:val="000000"/>
                <w:kern w:val="0"/>
                <w:sz w:val="24"/>
                <w:szCs w:val="24"/>
              </w:rPr>
            </w:pPr>
            <w:r>
              <w:rPr>
                <w:rFonts w:ascii="仿宋" w:hAnsi="仿宋" w:eastAsia="仿宋" w:cs="宋体"/>
                <w:color w:val="000000"/>
                <w:kern w:val="0"/>
                <w:sz w:val="24"/>
                <w:szCs w:val="24"/>
                <w:lang w:val="en-US" w:eastAsia="zh-CN"/>
              </w:rPr>
              <w:t>一般公共预算安排的教</w:t>
            </w:r>
            <w:r>
              <w:rPr>
                <w:rFonts w:hint="eastAsia" w:ascii="仿宋" w:hAnsi="仿宋" w:eastAsia="仿宋" w:cs="宋体"/>
                <w:color w:val="000000"/>
                <w:kern w:val="0"/>
                <w:sz w:val="24"/>
                <w:szCs w:val="24"/>
                <w:lang w:val="en-US" w:eastAsia="zh-CN"/>
              </w:rPr>
              <w:t xml:space="preserve">育经费 </w:t>
            </w:r>
          </w:p>
        </w:tc>
        <w:tc>
          <w:tcPr>
            <w:tcW w:w="1701"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5504.52 </w:t>
            </w:r>
          </w:p>
        </w:tc>
        <w:tc>
          <w:tcPr>
            <w:tcW w:w="1701"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181751.66 </w:t>
            </w:r>
          </w:p>
        </w:tc>
        <w:tc>
          <w:tcPr>
            <w:tcW w:w="1539" w:type="dxa"/>
            <w:noWrap w:val="0"/>
            <w:vAlign w:val="center"/>
          </w:tcPr>
          <w:p>
            <w:pPr>
              <w:widowControl/>
              <w:shd w:val="clear" w:color="auto" w:fill="FFFFFF"/>
              <w:spacing w:line="240" w:lineRule="auto"/>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849</w:t>
            </w:r>
            <w:bookmarkStart w:id="1" w:name="_GoBack"/>
            <w:bookmarkEnd w:id="1"/>
            <w:r>
              <w:rPr>
                <w:rFonts w:hint="eastAsia" w:ascii="仿宋" w:hAnsi="仿宋" w:eastAsia="仿宋" w:cs="宋体"/>
                <w:color w:val="000000"/>
                <w:kern w:val="0"/>
                <w:sz w:val="24"/>
                <w:szCs w:val="24"/>
                <w:lang w:val="en-US" w:eastAsia="zh-CN"/>
              </w:rPr>
              <w:t xml:space="preserve">2.95 </w:t>
            </w:r>
          </w:p>
        </w:tc>
      </w:tr>
    </w:tbl>
    <w:p>
      <w:pPr>
        <w:widowControl/>
        <w:shd w:val="clear" w:color="auto" w:fill="FFFFFF"/>
        <w:spacing w:line="240" w:lineRule="auto"/>
        <w:ind w:firstLine="600" w:firstLineChars="200"/>
        <w:jc w:val="left"/>
        <w:rPr>
          <w:rFonts w:hint="default" w:ascii="楷体_GB2312" w:hAnsi="楷体_GB2312" w:eastAsia="楷体_GB2312" w:cs="楷体_GB2312"/>
          <w:color w:val="000000"/>
          <w:kern w:val="0"/>
          <w:sz w:val="30"/>
          <w:szCs w:val="30"/>
          <w:lang w:val="en-US" w:eastAsia="zh-CN" w:bidi="ar"/>
        </w:rPr>
      </w:pPr>
      <w:r>
        <w:rPr>
          <w:rFonts w:hint="eastAsia" w:ascii="楷体_GB2312" w:hAnsi="楷体_GB2312" w:eastAsia="楷体_GB2312" w:cs="楷体_GB2312"/>
          <w:color w:val="000000"/>
          <w:kern w:val="0"/>
          <w:sz w:val="30"/>
          <w:szCs w:val="30"/>
          <w:lang w:val="en-US" w:eastAsia="zh-CN"/>
        </w:rPr>
        <w:t>3</w:t>
      </w:r>
      <w:r>
        <w:rPr>
          <w:rFonts w:hint="eastAsia" w:ascii="楷体_GB2312" w:hAnsi="楷体_GB2312" w:eastAsia="楷体_GB2312" w:cs="楷体_GB2312"/>
          <w:color w:val="000000"/>
          <w:kern w:val="0"/>
          <w:sz w:val="30"/>
          <w:szCs w:val="30"/>
        </w:rPr>
        <w:t>.</w:t>
      </w:r>
      <w:r>
        <w:rPr>
          <w:rFonts w:hint="eastAsia" w:ascii="楷体_GB2312" w:hAnsi="楷体_GB2312" w:eastAsia="楷体_GB2312" w:cs="楷体_GB2312"/>
          <w:color w:val="000000"/>
          <w:kern w:val="0"/>
          <w:sz w:val="30"/>
          <w:szCs w:val="30"/>
          <w:lang w:val="en-US" w:eastAsia="zh-CN" w:bidi="ar"/>
        </w:rPr>
        <w:t>信息化教学条件</w:t>
      </w:r>
    </w:p>
    <w:p>
      <w:pPr>
        <w:widowControl/>
        <w:shd w:val="clear" w:color="auto" w:fill="FFFFFF"/>
        <w:spacing w:line="240" w:lineRule="auto"/>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学院高度重视信息化校园建设，积极</w:t>
      </w:r>
      <w:r>
        <w:rPr>
          <w:rFonts w:hint="eastAsia" w:ascii="仿宋_GB2312" w:hAnsi="仿宋_GB2312" w:eastAsia="仿宋_GB2312" w:cs="仿宋_GB2312"/>
          <w:color w:val="000000"/>
          <w:kern w:val="0"/>
          <w:sz w:val="30"/>
          <w:szCs w:val="30"/>
        </w:rPr>
        <w:t>完善校园网络和</w:t>
      </w:r>
      <w:r>
        <w:rPr>
          <w:rFonts w:hint="eastAsia" w:ascii="仿宋_GB2312" w:hAnsi="仿宋_GB2312" w:eastAsia="仿宋_GB2312" w:cs="仿宋_GB2312"/>
          <w:color w:val="000000"/>
          <w:kern w:val="0"/>
          <w:sz w:val="30"/>
          <w:szCs w:val="30"/>
          <w:lang w:eastAsia="zh-CN"/>
        </w:rPr>
        <w:t>数字化统一服务平台</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目前已接入互联网出口带宽10240 Mbps，教学用终端（计算机）数2893 台，网络信息点数5955个。并利用互联网、大数据和人工智能技术支撑教学改革，积极开发数字化教学资源，建立上网课程数229门，拥有智慧教室400个、全程录播教室20个。拥有无线网络全覆盖、教学场所全智能、生活服务全在线的智慧校园网络体系。</w:t>
      </w:r>
      <w:r>
        <w:rPr>
          <w:rFonts w:hint="eastAsia" w:ascii="仿宋_GB2312" w:hAnsi="仿宋_GB2312" w:eastAsia="仿宋_GB2312" w:cs="仿宋_GB2312"/>
          <w:color w:val="000000"/>
          <w:kern w:val="0"/>
          <w:sz w:val="30"/>
          <w:szCs w:val="30"/>
        </w:rPr>
        <w:t>实现了学校行政办公管理、教务教学管理、招生就业管理、学生管理、顶岗实习管理、</w:t>
      </w:r>
      <w:r>
        <w:rPr>
          <w:rFonts w:hint="eastAsia" w:ascii="仿宋_GB2312" w:hAnsi="仿宋_GB2312" w:eastAsia="仿宋_GB2312" w:cs="仿宋_GB2312"/>
          <w:color w:val="000000"/>
          <w:kern w:val="0"/>
          <w:sz w:val="30"/>
          <w:szCs w:val="30"/>
          <w:lang w:eastAsia="zh-CN"/>
        </w:rPr>
        <w:t>教学质量管理、</w:t>
      </w:r>
      <w:r>
        <w:rPr>
          <w:rFonts w:hint="eastAsia" w:ascii="仿宋_GB2312" w:hAnsi="仿宋_GB2312" w:eastAsia="仿宋_GB2312" w:cs="仿宋_GB2312"/>
          <w:color w:val="000000"/>
          <w:kern w:val="0"/>
          <w:sz w:val="30"/>
          <w:szCs w:val="30"/>
        </w:rPr>
        <w:t>网络课程及教学系统、课堂及实训教学系统、校园门户系统、网络及信息安全系统的全方位信息化管理。</w:t>
      </w:r>
    </w:p>
    <w:p>
      <w:pPr>
        <w:widowControl/>
        <w:numPr>
          <w:ilvl w:val="0"/>
          <w:numId w:val="1"/>
        </w:numPr>
        <w:shd w:val="clear" w:color="auto" w:fill="FFFFFF"/>
        <w:spacing w:line="240" w:lineRule="auto"/>
        <w:ind w:firstLine="600" w:firstLineChars="200"/>
        <w:jc w:val="left"/>
        <w:rPr>
          <w:rFonts w:hint="eastAsia" w:ascii="黑体" w:hAnsi="黑体" w:eastAsia="黑体" w:cs="黑体"/>
          <w:sz w:val="30"/>
          <w:szCs w:val="30"/>
          <w:lang w:eastAsia="zh-CN"/>
        </w:rPr>
      </w:pPr>
      <w:r>
        <w:rPr>
          <w:rFonts w:hint="eastAsia" w:ascii="黑体" w:hAnsi="黑体" w:eastAsia="黑体" w:cs="黑体"/>
          <w:color w:val="000000"/>
          <w:kern w:val="0"/>
          <w:sz w:val="30"/>
          <w:szCs w:val="30"/>
          <w:lang w:eastAsia="zh-CN"/>
        </w:rPr>
        <w:t>教学</w:t>
      </w:r>
      <w:r>
        <w:rPr>
          <w:rFonts w:hint="eastAsia" w:ascii="黑体" w:hAnsi="黑体" w:eastAsia="黑体" w:cs="黑体"/>
          <w:sz w:val="30"/>
          <w:szCs w:val="30"/>
        </w:rPr>
        <w:t>队伍</w:t>
      </w:r>
      <w:r>
        <w:rPr>
          <w:rFonts w:hint="eastAsia" w:ascii="黑体" w:hAnsi="黑体" w:eastAsia="黑体" w:cs="黑体"/>
          <w:sz w:val="30"/>
          <w:szCs w:val="30"/>
          <w:lang w:eastAsia="zh-CN"/>
        </w:rPr>
        <w:t>保障</w:t>
      </w:r>
    </w:p>
    <w:p>
      <w:pPr>
        <w:widowControl/>
        <w:shd w:val="clear" w:color="auto" w:fill="FFFFFF"/>
        <w:spacing w:line="240" w:lineRule="auto"/>
        <w:ind w:firstLine="600" w:firstLineChars="200"/>
        <w:jc w:val="left"/>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rPr>
        <w:t>学校坚持人才强校战略，</w:t>
      </w:r>
      <w:r>
        <w:rPr>
          <w:rFonts w:hint="eastAsia" w:ascii="仿宋_GB2312" w:hAnsi="仿宋_GB2312" w:eastAsia="仿宋_GB2312" w:cs="仿宋_GB2312"/>
          <w:color w:val="000000"/>
          <w:kern w:val="0"/>
          <w:sz w:val="30"/>
          <w:szCs w:val="30"/>
          <w:lang w:eastAsia="zh-CN"/>
        </w:rPr>
        <w:t>坚持引培并举、内外兼用的总体思路，</w:t>
      </w:r>
      <w:r>
        <w:rPr>
          <w:rFonts w:hint="eastAsia" w:ascii="仿宋_GB2312" w:hAnsi="仿宋_GB2312" w:eastAsia="仿宋_GB2312" w:cs="仿宋_GB2312"/>
          <w:color w:val="000000"/>
          <w:kern w:val="0"/>
          <w:sz w:val="30"/>
          <w:szCs w:val="30"/>
        </w:rPr>
        <w:t>不断加强师资队伍建设。</w:t>
      </w:r>
      <w:r>
        <w:rPr>
          <w:rFonts w:hint="eastAsia" w:ascii="仿宋_GB2312" w:hAnsi="仿宋_GB2312" w:eastAsia="仿宋_GB2312" w:cs="仿宋_GB2312"/>
          <w:color w:val="000000"/>
          <w:kern w:val="0"/>
          <w:sz w:val="30"/>
          <w:szCs w:val="30"/>
          <w:lang w:val="en-US" w:eastAsia="zh-CN"/>
        </w:rPr>
        <w:t>2018年以来，持续招录教师126人，其中双一流高校毕业生80人，把140名临聘教师纳入了人事代理管理。</w:t>
      </w:r>
      <w:r>
        <w:rPr>
          <w:rFonts w:hint="eastAsia" w:ascii="仿宋_GB2312" w:hAnsi="仿宋_GB2312" w:eastAsia="仿宋_GB2312" w:cs="仿宋_GB2312"/>
          <w:color w:val="000000"/>
          <w:kern w:val="0"/>
          <w:sz w:val="30"/>
          <w:szCs w:val="30"/>
          <w:lang w:eastAsia="zh-CN"/>
        </w:rPr>
        <w:t>教职工总数达到52</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lang w:eastAsia="zh-CN"/>
        </w:rPr>
        <w:t>人，其中，专任教师463人、副高级以上专业技术职务97人、硕士以上学位246人、35周岁以下的教师365人、国家级、省级优秀教师58人、省级教学能手4人。承担立项科研课题205项，发表论文48篇，出版著作6部，获得省级教学成果奖二等奖2项、市级科研成果奖27项。学院聘用具有行业影响力的专家、能工巧匠作为兼职教师20余人。建立菏泽籍高端人才服务机构，搭建区外人才服务菏泽和学校发展的平台，成为我院人才队伍的重要补充。</w:t>
      </w:r>
    </w:p>
    <w:p>
      <w:pPr>
        <w:bidi w:val="0"/>
        <w:ind w:firstLine="585" w:firstLineChars="195"/>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学院科学规划师资队伍建设方案，突出“双师型”教师个体成长和“双师型”教学团队建设相结合，鼓励教师积极参与教育教学改革、技术研发、业务进修、企业锻炼等工作和培训，不断提高教师教育教学能力和专业实践能力。持续优化教师队伍结构，努力打造一支专职为主、专兼结合、数量充足、素质优良的“双师型”师资队伍，为提升学校办学水平、培养高素质技术技能人才提供强有力的师资保障。</w:t>
      </w:r>
    </w:p>
    <w:p>
      <w:pPr>
        <w:widowControl/>
        <w:shd w:val="clear" w:color="auto" w:fill="FFFFFF"/>
        <w:spacing w:line="240" w:lineRule="auto"/>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三、专业人才培养</w:t>
      </w:r>
    </w:p>
    <w:p>
      <w:pPr>
        <w:widowControl/>
        <w:shd w:val="clear" w:color="auto" w:fill="FFFFFF"/>
        <w:spacing w:line="240" w:lineRule="auto"/>
        <w:ind w:firstLine="600" w:firstLineChars="200"/>
        <w:jc w:val="left"/>
        <w:rPr>
          <w:rFonts w:hint="eastAsia" w:ascii="楷体_GB2312" w:hAnsi="楷体_GB2312" w:eastAsia="楷体_GB2312" w:cs="楷体_GB2312"/>
          <w:color w:val="000000"/>
          <w:kern w:val="0"/>
          <w:sz w:val="30"/>
          <w:szCs w:val="30"/>
        </w:rPr>
      </w:pPr>
      <w:r>
        <w:rPr>
          <w:rFonts w:hint="eastAsia" w:ascii="楷体_GB2312" w:hAnsi="楷体_GB2312" w:eastAsia="楷体_GB2312" w:cs="楷体_GB2312"/>
          <w:color w:val="000000"/>
          <w:kern w:val="0"/>
          <w:sz w:val="30"/>
          <w:szCs w:val="30"/>
        </w:rPr>
        <w:t>1.专业情况分析</w:t>
      </w:r>
    </w:p>
    <w:p>
      <w:pPr>
        <w:widowControl/>
        <w:shd w:val="clear" w:color="auto" w:fill="FFFFFF"/>
        <w:spacing w:line="240" w:lineRule="auto"/>
        <w:ind w:firstLine="600" w:firstLineChars="200"/>
        <w:jc w:val="left"/>
        <w:rPr>
          <w:rFonts w:hint="eastAsia" w:ascii="Times New Roman" w:hAnsi="Times New Roman" w:eastAsia="宋体" w:cs="Times New Roman"/>
          <w:kern w:val="2"/>
          <w:sz w:val="21"/>
          <w:szCs w:val="22"/>
          <w:lang w:val="en-US" w:eastAsia="zh-CN" w:bidi="ar-SA"/>
        </w:rPr>
      </w:pPr>
      <w:r>
        <w:rPr>
          <w:rFonts w:hint="default" w:ascii="仿宋_GB2312" w:hAnsi="仿宋_GB2312" w:eastAsia="仿宋_GB2312" w:cs="仿宋_GB2312"/>
          <w:color w:val="000000"/>
          <w:kern w:val="0"/>
          <w:sz w:val="30"/>
          <w:szCs w:val="30"/>
          <w:lang w:val="en-US" w:eastAsia="zh-CN"/>
        </w:rPr>
        <w:t>学院设商贸物流系、机电工程系、交通工程系、信息工程系、经济管理系</w:t>
      </w:r>
      <w:r>
        <w:rPr>
          <w:rFonts w:hint="eastAsia" w:ascii="仿宋_GB2312" w:hAnsi="仿宋_GB2312" w:eastAsia="仿宋_GB2312" w:cs="仿宋_GB2312"/>
          <w:color w:val="000000"/>
          <w:kern w:val="0"/>
          <w:sz w:val="30"/>
          <w:szCs w:val="30"/>
          <w:lang w:val="en-US" w:eastAsia="zh-CN"/>
        </w:rPr>
        <w:t>等11个系（部），2020年，新增精细化工技术、动物医学、公共事务管理、幼儿发展与健康管理，专业数量达27个，形成以装备制造大类和电子信息大类专业、财经商贸专业为主的专业结构。拥有山东省高等职业教育品牌专业群2个、教育重点专业6个。</w:t>
      </w:r>
    </w:p>
    <w:p>
      <w:pPr>
        <w:bidi w:val="0"/>
        <w:ind w:firstLine="600" w:firstLineChars="200"/>
        <w:jc w:val="left"/>
        <w:rPr>
          <w:rFonts w:hint="eastAsia"/>
          <w:lang w:val="en-US" w:eastAsia="zh-CN"/>
        </w:rPr>
      </w:pPr>
      <w:r>
        <w:rPr>
          <w:rFonts w:hint="eastAsia" w:ascii="仿宋" w:hAnsi="仿宋" w:eastAsia="仿宋" w:cs="仿宋"/>
          <w:sz w:val="30"/>
          <w:szCs w:val="30"/>
          <w:lang w:val="en-US" w:eastAsia="zh-CN"/>
        </w:rPr>
        <w:t>学校不断优化</w:t>
      </w:r>
      <w:r>
        <w:rPr>
          <w:rFonts w:hint="eastAsia" w:ascii="仿宋_GB2312" w:hAnsi="仿宋_GB2312" w:eastAsia="仿宋_GB2312" w:cs="仿宋_GB2312"/>
          <w:color w:val="000000"/>
          <w:kern w:val="0"/>
          <w:sz w:val="30"/>
          <w:szCs w:val="30"/>
          <w:lang w:val="en-US" w:eastAsia="zh-CN"/>
        </w:rPr>
        <w:t>专业体系，激发专业建设活力。逐步开展教学督导、教学检查、教学质量评价、视频观摩评教等教学秩序建设；专业带头人、学科带头人、课程负责人、教学名师培养等教学能力建设；高级酒店管理订单培养、建筑施工管理现代学徒制培养、汽修工匠工学交替培养等人才培养模式改革探索；加强体育、拓展美育、强化劳动教育等全面发展育人体系建设均成效显著，取</w:t>
      </w:r>
    </w:p>
    <w:p>
      <w:pPr>
        <w:bidi w:val="0"/>
        <w:spacing w:line="240" w:lineRule="auto"/>
        <w:jc w:val="left"/>
        <w:rPr>
          <w:rFonts w:hint="eastAsia" w:ascii="华文楷体" w:hAnsi="华文楷体" w:eastAsia="华文楷体" w:cs="华文楷体"/>
          <w:sz w:val="30"/>
          <w:szCs w:val="30"/>
          <w:lang w:val="en-US" w:eastAsia="zh-CN"/>
        </w:rPr>
      </w:pPr>
      <w:r>
        <w:rPr>
          <w:rFonts w:hint="eastAsia" w:ascii="仿宋" w:hAnsi="仿宋" w:eastAsia="仿宋" w:cs="仿宋"/>
          <w:sz w:val="30"/>
          <w:szCs w:val="30"/>
          <w:lang w:val="en-US" w:eastAsia="zh-CN"/>
        </w:rPr>
        <w:t>得省级教学成果二等奖2项。成立菏泽市曹风乡村振兴研究院、菏泽市高端化工研究院、菏泽市国韵非物质文化遗产研究院等</w:t>
      </w:r>
    </w:p>
    <w:p>
      <w:pPr>
        <w:widowControl/>
        <w:shd w:val="clear" w:color="auto" w:fill="FFFFFF"/>
        <w:spacing w:line="240" w:lineRule="auto"/>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16个学会、协会、研究院；建立了人工智能和水环境污染控制两个市级重点实验室和工程技术中心。</w:t>
      </w:r>
    </w:p>
    <w:p>
      <w:pPr>
        <w:widowControl/>
        <w:numPr>
          <w:ilvl w:val="0"/>
          <w:numId w:val="0"/>
        </w:numPr>
        <w:shd w:val="clear" w:color="auto" w:fill="FFFFFF"/>
        <w:spacing w:line="240" w:lineRule="auto"/>
        <w:ind w:firstLine="600" w:firstLineChars="200"/>
        <w:jc w:val="left"/>
        <w:rPr>
          <w:rFonts w:hint="eastAsia" w:ascii="楷体_GB2312" w:hAnsi="楷体_GB2312" w:eastAsia="楷体_GB2312" w:cs="楷体_GB2312"/>
          <w:color w:val="000000"/>
          <w:kern w:val="0"/>
          <w:sz w:val="30"/>
          <w:szCs w:val="30"/>
        </w:rPr>
      </w:pPr>
      <w:r>
        <w:rPr>
          <w:rFonts w:hint="eastAsia" w:ascii="楷体_GB2312" w:hAnsi="楷体_GB2312" w:eastAsia="楷体_GB2312" w:cs="楷体_GB2312"/>
          <w:color w:val="000000"/>
          <w:kern w:val="0"/>
          <w:sz w:val="30"/>
          <w:szCs w:val="30"/>
          <w:lang w:val="en-US" w:eastAsia="zh-CN"/>
        </w:rPr>
        <w:t>2.</w:t>
      </w:r>
      <w:r>
        <w:rPr>
          <w:rFonts w:hint="eastAsia" w:ascii="楷体_GB2312" w:hAnsi="楷体_GB2312" w:eastAsia="楷体_GB2312" w:cs="楷体_GB2312"/>
          <w:color w:val="000000"/>
          <w:kern w:val="0"/>
          <w:sz w:val="30"/>
          <w:szCs w:val="30"/>
        </w:rPr>
        <w:t>校内外实践基地情况</w:t>
      </w:r>
    </w:p>
    <w:p>
      <w:pPr>
        <w:widowControl/>
        <w:numPr>
          <w:ilvl w:val="0"/>
          <w:numId w:val="0"/>
        </w:numPr>
        <w:shd w:val="clear" w:color="auto" w:fill="FFFFFF"/>
        <w:spacing w:line="240" w:lineRule="auto"/>
        <w:ind w:firstLine="600" w:firstLineChars="200"/>
        <w:jc w:val="left"/>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学校聚焦国家战略性新兴产业发展规划和菏泽产业体系布局，</w:t>
      </w:r>
      <w:bookmarkStart w:id="0" w:name="_Hlk39845701"/>
      <w:r>
        <w:rPr>
          <w:rFonts w:hint="eastAsia" w:ascii="仿宋_GB2312" w:hAnsi="仿宋_GB2312" w:eastAsia="仿宋_GB2312" w:cs="仿宋_GB2312"/>
          <w:color w:val="000000"/>
          <w:kern w:val="0"/>
          <w:sz w:val="30"/>
          <w:szCs w:val="30"/>
          <w:lang w:val="en-US" w:eastAsia="zh-CN"/>
        </w:rPr>
        <w:t>主动与人工智能、电子商务、医药化工、文化旅游、学前教育等行业领军企业深度合作，按照理念先进、技术领先、设备一流、管理科学的标准，建设包含人工智能实训中心、网红电商实训中心、幼儿教育实训中心、高端化工研发中心、创新创业孵化基地、文创产业基地、大型智能（仿真）实训基地等集实践教学、社会培训、企业生产、技术服务和创新创业“五位一体”的高端化、职业化实训基地。</w:t>
      </w:r>
      <w:bookmarkEnd w:id="0"/>
      <w:r>
        <w:rPr>
          <w:rFonts w:hint="eastAsia" w:ascii="仿宋_GB2312" w:hAnsi="仿宋_GB2312" w:eastAsia="仿宋_GB2312" w:cs="仿宋_GB2312"/>
          <w:color w:val="000000"/>
          <w:kern w:val="0"/>
          <w:sz w:val="30"/>
          <w:szCs w:val="30"/>
          <w:lang w:val="en-US" w:eastAsia="zh-CN"/>
        </w:rPr>
        <w:t>目前已建立校外实习实训基地15个、校内实践基地25个、校内实践教学工位达8000个。通过不断完善实践教学管理体系，健全实践基地的开放共享机制，创新基地双元育人模式与运行机制，提升育人水平和服务成效。</w:t>
      </w:r>
    </w:p>
    <w:p>
      <w:pPr>
        <w:widowControl/>
        <w:numPr>
          <w:ilvl w:val="0"/>
          <w:numId w:val="0"/>
        </w:numPr>
        <w:shd w:val="clear" w:color="auto" w:fill="FFFFFF"/>
        <w:spacing w:line="240" w:lineRule="auto"/>
        <w:ind w:firstLine="600" w:firstLineChars="200"/>
        <w:jc w:val="left"/>
        <w:rPr>
          <w:rFonts w:hint="eastAsia" w:ascii="楷体_GB2312" w:hAnsi="楷体_GB2312" w:eastAsia="楷体_GB2312" w:cs="楷体_GB2312"/>
          <w:color w:val="000000"/>
          <w:kern w:val="0"/>
          <w:sz w:val="30"/>
          <w:szCs w:val="30"/>
          <w:lang w:eastAsia="zh-CN"/>
        </w:rPr>
      </w:pPr>
      <w:r>
        <w:rPr>
          <w:rFonts w:hint="eastAsia" w:ascii="楷体_GB2312" w:hAnsi="楷体_GB2312" w:eastAsia="楷体_GB2312" w:cs="楷体_GB2312"/>
          <w:color w:val="000000"/>
          <w:kern w:val="0"/>
          <w:sz w:val="30"/>
          <w:szCs w:val="30"/>
          <w:lang w:val="en-US" w:eastAsia="zh-CN"/>
        </w:rPr>
        <w:t>3.</w:t>
      </w:r>
      <w:r>
        <w:rPr>
          <w:rFonts w:hint="eastAsia" w:ascii="楷体_GB2312" w:hAnsi="楷体_GB2312" w:eastAsia="楷体_GB2312" w:cs="楷体_GB2312"/>
          <w:color w:val="000000"/>
          <w:kern w:val="0"/>
          <w:sz w:val="30"/>
          <w:szCs w:val="30"/>
          <w:lang w:eastAsia="zh-CN"/>
        </w:rPr>
        <w:t>产教融合发展状态</w:t>
      </w:r>
    </w:p>
    <w:p>
      <w:pPr>
        <w:widowControl/>
        <w:shd w:val="clear" w:color="auto" w:fill="FFFFFF"/>
        <w:spacing w:line="240" w:lineRule="auto"/>
        <w:ind w:firstLine="600" w:firstLineChars="200"/>
        <w:jc w:val="left"/>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rPr>
        <w:t>学校不断加深产教融合，牵头成立了菏泽市职业教育产教融合联盟并担任理事长单位；参与发起成立了中国农业光伏产业联盟、中国发明协会职业教育创新创业联盟、人工智能产教融合国际联盟、山东省人工智能产教联盟、山东省跨境电商产教联盟、山东省“一带一路”职业教育国际联盟、海尔集团产教联盟并担任副理事长单位，当选了山东省人工智能学会常务理事单位及职业教育专业委员会主任单位，成功承办了山东省第二届人工智能大会。与牡丹区、开发区、高新区达成了战略合作，与中国美术学院大学科技园共建中国美术学院菏泽大学科技园入驻100余家文创企业，与科大讯飞、旷视、360、中兴、中车、海尔等知名企业签订了</w:t>
      </w:r>
      <w:r>
        <w:rPr>
          <w:rFonts w:hint="eastAsia" w:ascii="仿宋_GB2312" w:hAnsi="仿宋_GB2312" w:eastAsia="仿宋_GB2312" w:cs="仿宋_GB2312"/>
          <w:color w:val="000000"/>
          <w:kern w:val="0"/>
          <w:sz w:val="30"/>
          <w:szCs w:val="30"/>
          <w:lang w:val="en-US" w:eastAsia="zh-CN" w:bidi="ar-SA"/>
        </w:rPr>
        <w:t>战略合作协议，与中关村软件园等教育型企业联合成立了中关村大数据产业学院、华科工业机器人产业学院等13个产业学院。</w:t>
      </w:r>
    </w:p>
    <w:p>
      <w:pPr>
        <w:widowControl/>
        <w:shd w:val="clear" w:color="auto" w:fill="FFFFFF"/>
        <w:spacing w:line="240" w:lineRule="auto"/>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四、学生发展</w:t>
      </w:r>
    </w:p>
    <w:p>
      <w:pPr>
        <w:spacing w:line="240" w:lineRule="auto"/>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1.职业技能和创新创业能力</w:t>
      </w:r>
    </w:p>
    <w:p>
      <w:pPr>
        <w:widowControl/>
        <w:shd w:val="clear" w:color="auto" w:fill="FFFFFF"/>
        <w:spacing w:line="240" w:lineRule="auto"/>
        <w:ind w:firstLine="600" w:firstLineChars="200"/>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学校高度重视学生的全面发展，积极鼓励学生参加技能大赛，提升实践能力和创新能力。通过以赛促教、以赛促学的方式，使学生对所学的知识技能融会贯通，并在过程中取得了丰硕的成果：参加省市教学能力大赛130人次并获省赛二等奖、三等奖各1项；参加全国全省各类学生大赛260人次，2019年获得上海合作组织国际技能大赛金、银、铜奖各1项，全国行业技能大赛二等奖、三等奖各1项，中华职教社黄炎培创新创业省级大赛金奖1项，山东省职业教育技能大赛二等奖1项、三等奖5项，山东省大学生科技节、富民兴鲁技能大赛等其他省级部门技能大赛二等奖2 项、三等奖1项。</w:t>
      </w:r>
    </w:p>
    <w:p>
      <w:pPr>
        <w:widowControl/>
        <w:shd w:val="clear" w:color="auto" w:fill="FFFFFF"/>
        <w:spacing w:line="240" w:lineRule="auto"/>
        <w:ind w:firstLine="600" w:firstLineChars="200"/>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学校设立创新创业学院，引进高水平指导团队，建设高标准创新创业基地，将创新创业教育纳入人才培养方案，推动大学生创新创业活动深入开展，培训创业导师206人、学生4332人，指导创办小微企业22家，并获颁山东省创新创业学院、山东省创客之家，中华职教社黄炎培创新创业省级大赛金奖1项，大学生互联网+省级大赛三等奖1项。</w:t>
      </w:r>
    </w:p>
    <w:p>
      <w:pPr>
        <w:widowControl/>
        <w:numPr>
          <w:ilvl w:val="0"/>
          <w:numId w:val="0"/>
        </w:numPr>
        <w:shd w:val="clear" w:color="auto" w:fill="FFFFFF"/>
        <w:spacing w:line="240" w:lineRule="auto"/>
        <w:ind w:firstLine="600" w:firstLineChars="200"/>
        <w:jc w:val="left"/>
        <w:rPr>
          <w:rFonts w:hint="eastAsia" w:ascii="楷体_GB2312" w:hAnsi="楷体_GB2312" w:eastAsia="楷体_GB2312" w:cs="楷体_GB2312"/>
          <w:color w:val="000000"/>
          <w:kern w:val="0"/>
          <w:sz w:val="30"/>
          <w:szCs w:val="30"/>
          <w:lang w:val="en-US" w:eastAsia="zh-CN"/>
        </w:rPr>
      </w:pPr>
      <w:r>
        <w:rPr>
          <w:rFonts w:hint="eastAsia" w:ascii="楷体_GB2312" w:hAnsi="楷体_GB2312" w:eastAsia="楷体_GB2312" w:cs="楷体_GB2312"/>
          <w:color w:val="000000"/>
          <w:kern w:val="0"/>
          <w:sz w:val="30"/>
          <w:szCs w:val="30"/>
          <w:lang w:val="en-US" w:eastAsia="zh-CN"/>
        </w:rPr>
        <w:t>2.</w:t>
      </w:r>
      <w:r>
        <w:rPr>
          <w:rFonts w:hint="eastAsia" w:ascii="楷体_GB2312" w:hAnsi="楷体_GB2312" w:eastAsia="楷体_GB2312" w:cs="楷体_GB2312"/>
          <w:color w:val="000000"/>
          <w:kern w:val="0"/>
          <w:sz w:val="30"/>
          <w:szCs w:val="30"/>
        </w:rPr>
        <w:t>招生计划完成情况</w:t>
      </w:r>
    </w:p>
    <w:p>
      <w:pPr>
        <w:widowControl/>
        <w:shd w:val="clear" w:color="auto" w:fill="FFFFFF"/>
        <w:spacing w:line="240" w:lineRule="auto"/>
        <w:ind w:firstLine="600" w:firstLineChars="200"/>
        <w:jc w:val="left"/>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学校自2017年到2019年招生人数持续攀升，统招实际招生数从2017年的1615人到2019年的4655人，人数增长近3倍，实现了飞跃式突破。生源数量充足且质量较高，新生报到率达85%。2018年我院计划自主招生数为440人，实际招生246人；2019年我院计划自主招生数为1040人，实际招生828人，2019年自主招生计划完成率比2018年增加了23.7%。招生情况体现了学院近3年时间的飞速发展得到了社会广泛的认可。</w:t>
      </w:r>
    </w:p>
    <w:p>
      <w:pPr>
        <w:widowControl/>
        <w:shd w:val="clear" w:color="auto" w:fill="FFFFFF"/>
        <w:spacing w:line="240" w:lineRule="auto"/>
        <w:ind w:firstLine="600" w:firstLineChars="200"/>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表2  统招招生情况</w:t>
      </w:r>
    </w:p>
    <w:tbl>
      <w:tblPr>
        <w:tblStyle w:val="5"/>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1701"/>
        <w:gridCol w:w="1701"/>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489" w:type="dxa"/>
            <w:tcBorders>
              <w:tl2br w:val="single" w:color="auto" w:sz="4" w:space="0"/>
            </w:tcBorders>
            <w:noWrap w:val="0"/>
            <w:vAlign w:val="center"/>
          </w:tcPr>
          <w:p>
            <w:pPr>
              <w:widowControl/>
              <w:shd w:val="clear" w:color="auto" w:fill="FFFFFF"/>
              <w:spacing w:line="560" w:lineRule="exact"/>
              <w:jc w:val="center"/>
              <w:rPr>
                <w:rFonts w:ascii="仿宋" w:hAnsi="仿宋" w:eastAsia="仿宋" w:cs="宋体"/>
                <w:b/>
                <w:color w:val="000000"/>
                <w:kern w:val="0"/>
                <w:sz w:val="24"/>
                <w:szCs w:val="24"/>
              </w:rPr>
            </w:pPr>
            <w:r>
              <w:rPr>
                <w:rFonts w:ascii="仿宋" w:hAnsi="仿宋" w:eastAsia="仿宋" w:cs="宋体"/>
                <w:b/>
                <w:color w:val="000000"/>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107950</wp:posOffset>
                      </wp:positionV>
                      <wp:extent cx="742315" cy="289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48665" cy="275590"/>
                              </a:xfrm>
                              <a:prstGeom prst="rect">
                                <a:avLst/>
                              </a:prstGeom>
                              <a:noFill/>
                              <a:ln>
                                <a:noFill/>
                              </a:ln>
                              <a:effectLst/>
                            </wps:spPr>
                            <wps:style>
                              <a:lnRef idx="0">
                                <a:scrgbClr r="0" g="0" b="0"/>
                              </a:lnRef>
                              <a:fillRef idx="0">
                                <a:scrgbClr r="0" g="0" b="0"/>
                              </a:fillRef>
                              <a:effectRef idx="0">
                                <a:scrgbClr r="0" g="0" b="0"/>
                              </a:effectRef>
                              <a:fontRef idx="minor">
                                <a:schemeClr val="tx1"/>
                              </a:fontRef>
                            </wps:style>
                            <wps:txbx>
                              <w:txbxContent>
                                <w:p>
                                  <w:pPr>
                                    <w:pStyle w:val="3"/>
                                    <w:spacing w:before="0" w:beforeAutospacing="0" w:after="0" w:afterAutospacing="0"/>
                                  </w:pPr>
                                  <w:r>
                                    <w:rPr>
                                      <w:rFonts w:hint="eastAsia" w:ascii="Calibri" w:cs="Times New Roman"/>
                                      <w:color w:val="000000"/>
                                      <w:sz w:val="22"/>
                                      <w:szCs w:val="22"/>
                                      <w:lang w:eastAsia="zh-CN"/>
                                    </w:rPr>
                                    <w:t>人数</w:t>
                                  </w:r>
                                </w:p>
                              </w:txbxContent>
                            </wps:txbx>
                            <wps:bodyPr vertOverflow="clip" horzOverflow="clip" wrap="none" rtlCol="0" anchor="t">
                              <a:spAutoFit/>
                            </wps:bodyPr>
                          </wps:wsp>
                        </a:graphicData>
                      </a:graphic>
                    </wp:anchor>
                  </w:drawing>
                </mc:Choice>
                <mc:Fallback>
                  <w:pict>
                    <v:shape id="_x0000_s1026" o:spid="_x0000_s1026" o:spt="202" type="#_x0000_t202" style="position:absolute;left:0pt;margin-left:0.95pt;margin-top:8.5pt;height:22.8pt;width:58.45pt;mso-wrap-style:none;z-index:251665408;mso-width-relative:page;mso-height-relative:page;" filled="f" stroked="f" coordsize="21600,21600" o:gfxdata="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tpIiXTAAAABwEAAA8AAAAAAAAA&#10;AQAgAAAAIgAAAGRycy9kb3ducmV2LnhtbFBLAQIUABQAAAAIAIdO4kDKXE/R3QEAALMDAAAOAAAA&#10;AAAAAAEAIAAAACIBAABkcnMvZTJvRG9jLnhtbFBLBQYAAAAABgAGAFkBAABxBQAAAAA=&#10;">
                      <v:fill on="f" focussize="0,0"/>
                      <v:stroke on="f"/>
                      <v:imagedata o:title=""/>
                      <o:lock v:ext="edit" aspectratio="f"/>
                      <v:textbox style="mso-fit-shape-to-text:t;">
                        <w:txbxContent>
                          <w:p>
                            <w:pPr>
                              <w:pStyle w:val="3"/>
                              <w:spacing w:before="0" w:beforeAutospacing="0" w:after="0" w:afterAutospacing="0"/>
                            </w:pPr>
                            <w:r>
                              <w:rPr>
                                <w:rFonts w:hint="eastAsia" w:ascii="Calibri" w:cs="Times New Roman"/>
                                <w:color w:val="000000"/>
                                <w:sz w:val="22"/>
                                <w:szCs w:val="22"/>
                                <w:lang w:eastAsia="zh-CN"/>
                              </w:rPr>
                              <w:t>人数</w:t>
                            </w:r>
                          </w:p>
                        </w:txbxContent>
                      </v:textbox>
                    </v:shape>
                  </w:pict>
                </mc:Fallback>
              </mc:AlternateContent>
            </w:r>
            <w:r>
              <w:rPr>
                <w:rFonts w:ascii="仿宋" w:hAnsi="仿宋" w:eastAsia="仿宋" w:cs="宋体"/>
                <w:b/>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1352550</wp:posOffset>
                      </wp:positionH>
                      <wp:positionV relativeFrom="paragraph">
                        <wp:posOffset>38100</wp:posOffset>
                      </wp:positionV>
                      <wp:extent cx="462915" cy="289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6725" cy="275590"/>
                              </a:xfrm>
                              <a:prstGeom prst="rect">
                                <a:avLst/>
                              </a:prstGeom>
                              <a:noFill/>
                              <a:ln>
                                <a:noFill/>
                              </a:ln>
                              <a:effectLst/>
                            </wps:spPr>
                            <wps:style>
                              <a:lnRef idx="0">
                                <a:scrgbClr r="0" g="0" b="0"/>
                              </a:lnRef>
                              <a:fillRef idx="0">
                                <a:scrgbClr r="0" g="0" b="0"/>
                              </a:fillRef>
                              <a:effectRef idx="0">
                                <a:scrgbClr r="0" g="0" b="0"/>
                              </a:effectRef>
                              <a:fontRef idx="minor">
                                <a:schemeClr val="tx1"/>
                              </a:fontRef>
                            </wps:style>
                            <wps:txbx>
                              <w:txbxContent>
                                <w:p>
                                  <w:pPr>
                                    <w:pStyle w:val="3"/>
                                    <w:spacing w:before="0" w:beforeAutospacing="0" w:after="0" w:afterAutospacing="0"/>
                                  </w:pPr>
                                  <w:r>
                                    <w:rPr>
                                      <w:rFonts w:hint="eastAsia" w:ascii="Calibri" w:cs="Times New Roman"/>
                                      <w:color w:val="000000"/>
                                      <w:sz w:val="22"/>
                                      <w:szCs w:val="22"/>
                                    </w:rPr>
                                    <w:t>年度</w:t>
                                  </w:r>
                                </w:p>
                              </w:txbxContent>
                            </wps:txbx>
                            <wps:bodyPr vertOverflow="clip" horzOverflow="clip" wrap="none" rtlCol="0" anchor="t">
                              <a:spAutoFit/>
                            </wps:bodyPr>
                          </wps:wsp>
                        </a:graphicData>
                      </a:graphic>
                    </wp:anchor>
                  </w:drawing>
                </mc:Choice>
                <mc:Fallback>
                  <w:pict>
                    <v:shape id="_x0000_s1026" o:spid="_x0000_s1026" o:spt="202" type="#_x0000_t202" style="position:absolute;left:0pt;margin-left:106.5pt;margin-top:3pt;height:22.8pt;width:36.45pt;mso-wrap-style:none;z-index:251662336;mso-width-relative:page;mso-height-relative:page;" filled="f" stroked="f" coordsize="21600,21600" o:gfxdata="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WfYwbVAAAACAEAAA8AAAAA&#10;AAAAAQAgAAAAIgAAAGRycy9kb3ducmV2LnhtbFBLAQIUABQAAAAIAIdO4kAg7b5o3gEAALMDAAAO&#10;AAAAAAAAAAEAIAAAACQBAABkcnMvZTJvRG9jLnhtbFBLBQYAAAAABgAGAFkBAAB0BQAAAAA=&#10;">
                      <v:fill on="f" focussize="0,0"/>
                      <v:stroke on="f"/>
                      <v:imagedata o:title=""/>
                      <o:lock v:ext="edit" aspectratio="f"/>
                      <v:textbox style="mso-fit-shape-to-text:t;">
                        <w:txbxContent>
                          <w:p>
                            <w:pPr>
                              <w:pStyle w:val="3"/>
                              <w:spacing w:before="0" w:beforeAutospacing="0" w:after="0" w:afterAutospacing="0"/>
                            </w:pPr>
                            <w:r>
                              <w:rPr>
                                <w:rFonts w:hint="eastAsia" w:ascii="Calibri" w:cs="Times New Roman"/>
                                <w:color w:val="000000"/>
                                <w:sz w:val="22"/>
                                <w:szCs w:val="22"/>
                              </w:rPr>
                              <w:t>年度</w:t>
                            </w:r>
                          </w:p>
                        </w:txbxContent>
                      </v:textbox>
                    </v:shape>
                  </w:pict>
                </mc:Fallback>
              </mc:AlternateContent>
            </w:r>
          </w:p>
        </w:tc>
        <w:tc>
          <w:tcPr>
            <w:tcW w:w="1701" w:type="dxa"/>
            <w:noWrap w:val="0"/>
            <w:vAlign w:val="center"/>
          </w:tcPr>
          <w:p>
            <w:pPr>
              <w:widowControl/>
              <w:shd w:val="clear" w:color="auto" w:fill="FFFFFF"/>
              <w:spacing w:line="560" w:lineRule="exact"/>
              <w:jc w:val="center"/>
              <w:rPr>
                <w:rFonts w:hint="eastAsia" w:ascii="仿宋" w:hAnsi="仿宋" w:eastAsia="仿宋" w:cs="宋体"/>
                <w:b/>
                <w:color w:val="000000"/>
                <w:kern w:val="0"/>
                <w:sz w:val="24"/>
                <w:szCs w:val="24"/>
                <w:lang w:eastAsia="zh-CN"/>
              </w:rPr>
            </w:pPr>
            <w:r>
              <w:rPr>
                <w:rFonts w:hint="eastAsia" w:ascii="仿宋" w:hAnsi="仿宋" w:eastAsia="仿宋" w:cs="宋体"/>
                <w:b/>
                <w:color w:val="000000"/>
                <w:kern w:val="0"/>
                <w:sz w:val="24"/>
                <w:szCs w:val="24"/>
              </w:rPr>
              <w:t>201</w:t>
            </w:r>
            <w:r>
              <w:rPr>
                <w:rFonts w:hint="eastAsia" w:ascii="仿宋" w:hAnsi="仿宋" w:eastAsia="仿宋" w:cs="宋体"/>
                <w:b/>
                <w:color w:val="000000"/>
                <w:kern w:val="0"/>
                <w:sz w:val="24"/>
                <w:szCs w:val="24"/>
                <w:lang w:val="en-US" w:eastAsia="zh-CN"/>
              </w:rPr>
              <w:t>7</w:t>
            </w:r>
          </w:p>
        </w:tc>
        <w:tc>
          <w:tcPr>
            <w:tcW w:w="1701" w:type="dxa"/>
            <w:noWrap w:val="0"/>
            <w:vAlign w:val="center"/>
          </w:tcPr>
          <w:p>
            <w:pPr>
              <w:widowControl/>
              <w:shd w:val="clear" w:color="auto" w:fill="FFFFFF"/>
              <w:spacing w:line="560" w:lineRule="exact"/>
              <w:jc w:val="center"/>
              <w:rPr>
                <w:rFonts w:hint="eastAsia" w:ascii="仿宋" w:hAnsi="仿宋" w:eastAsia="仿宋" w:cs="宋体"/>
                <w:b/>
                <w:color w:val="000000"/>
                <w:kern w:val="0"/>
                <w:sz w:val="24"/>
                <w:szCs w:val="24"/>
                <w:lang w:eastAsia="zh-CN"/>
              </w:rPr>
            </w:pPr>
            <w:r>
              <w:rPr>
                <w:rFonts w:hint="eastAsia" w:ascii="仿宋" w:hAnsi="仿宋" w:eastAsia="仿宋" w:cs="宋体"/>
                <w:b/>
                <w:color w:val="000000"/>
                <w:kern w:val="0"/>
                <w:sz w:val="24"/>
                <w:szCs w:val="24"/>
              </w:rPr>
              <w:t>201</w:t>
            </w:r>
            <w:r>
              <w:rPr>
                <w:rFonts w:hint="eastAsia" w:ascii="仿宋" w:hAnsi="仿宋" w:eastAsia="仿宋" w:cs="宋体"/>
                <w:b/>
                <w:color w:val="000000"/>
                <w:kern w:val="0"/>
                <w:sz w:val="24"/>
                <w:szCs w:val="24"/>
                <w:lang w:val="en-US" w:eastAsia="zh-CN"/>
              </w:rPr>
              <w:t>8</w:t>
            </w:r>
          </w:p>
        </w:tc>
        <w:tc>
          <w:tcPr>
            <w:tcW w:w="1539" w:type="dxa"/>
            <w:noWrap w:val="0"/>
            <w:vAlign w:val="center"/>
          </w:tcPr>
          <w:p>
            <w:pPr>
              <w:widowControl/>
              <w:shd w:val="clear" w:color="auto" w:fill="FFFFFF"/>
              <w:spacing w:line="560" w:lineRule="exact"/>
              <w:jc w:val="center"/>
              <w:rPr>
                <w:rFonts w:hint="eastAsia" w:ascii="仿宋" w:hAnsi="仿宋" w:eastAsia="仿宋" w:cs="宋体"/>
                <w:b/>
                <w:color w:val="000000"/>
                <w:kern w:val="0"/>
                <w:sz w:val="24"/>
                <w:szCs w:val="24"/>
                <w:lang w:eastAsia="zh-CN"/>
              </w:rPr>
            </w:pPr>
            <w:r>
              <w:rPr>
                <w:rFonts w:hint="eastAsia" w:ascii="仿宋" w:hAnsi="仿宋" w:eastAsia="仿宋" w:cs="宋体"/>
                <w:b/>
                <w:color w:val="000000"/>
                <w:kern w:val="0"/>
                <w:sz w:val="24"/>
                <w:szCs w:val="24"/>
              </w:rPr>
              <w:t>201</w:t>
            </w:r>
            <w:r>
              <w:rPr>
                <w:rFonts w:hint="eastAsia" w:ascii="仿宋" w:hAnsi="仿宋" w:eastAsia="仿宋" w:cs="宋体"/>
                <w:b/>
                <w:color w:val="000000"/>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489" w:type="dxa"/>
            <w:noWrap w:val="0"/>
            <w:vAlign w:val="center"/>
          </w:tcPr>
          <w:p>
            <w:pPr>
              <w:widowControl/>
              <w:shd w:val="clear" w:color="auto" w:fill="FFFFFF"/>
              <w:spacing w:line="56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lang w:val="en-US" w:eastAsia="zh-CN"/>
              </w:rPr>
              <w:t>计划招生数</w:t>
            </w:r>
          </w:p>
        </w:tc>
        <w:tc>
          <w:tcPr>
            <w:tcW w:w="1701" w:type="dxa"/>
            <w:noWrap w:val="0"/>
            <w:vAlign w:val="center"/>
          </w:tcPr>
          <w:p>
            <w:pPr>
              <w:widowControl/>
              <w:shd w:val="clear" w:color="auto" w:fill="FFFFFF"/>
              <w:spacing w:line="560" w:lineRule="exact"/>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2200</w:t>
            </w:r>
          </w:p>
        </w:tc>
        <w:tc>
          <w:tcPr>
            <w:tcW w:w="1701" w:type="dxa"/>
            <w:noWrap w:val="0"/>
            <w:vAlign w:val="center"/>
          </w:tcPr>
          <w:p>
            <w:pPr>
              <w:widowControl/>
              <w:shd w:val="clear" w:color="auto" w:fill="FFFFFF"/>
              <w:spacing w:line="560" w:lineRule="exact"/>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2600 </w:t>
            </w:r>
          </w:p>
        </w:tc>
        <w:tc>
          <w:tcPr>
            <w:tcW w:w="1539" w:type="dxa"/>
            <w:noWrap w:val="0"/>
            <w:vAlign w:val="center"/>
          </w:tcPr>
          <w:p>
            <w:pPr>
              <w:widowControl/>
              <w:shd w:val="clear" w:color="auto" w:fill="FFFFFF"/>
              <w:spacing w:line="560" w:lineRule="exact"/>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9" w:type="dxa"/>
            <w:noWrap w:val="0"/>
            <w:vAlign w:val="center"/>
          </w:tcPr>
          <w:p>
            <w:pPr>
              <w:widowControl/>
              <w:shd w:val="clear" w:color="auto" w:fill="FFFFFF"/>
              <w:spacing w:line="560" w:lineRule="exact"/>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实际招生数</w:t>
            </w:r>
          </w:p>
        </w:tc>
        <w:tc>
          <w:tcPr>
            <w:tcW w:w="1701" w:type="dxa"/>
            <w:noWrap w:val="0"/>
            <w:vAlign w:val="center"/>
          </w:tcPr>
          <w:p>
            <w:pPr>
              <w:widowControl/>
              <w:shd w:val="clear" w:color="auto" w:fill="FFFFFF"/>
              <w:spacing w:line="560" w:lineRule="exact"/>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1615 </w:t>
            </w:r>
          </w:p>
        </w:tc>
        <w:tc>
          <w:tcPr>
            <w:tcW w:w="1701" w:type="dxa"/>
            <w:noWrap w:val="0"/>
            <w:vAlign w:val="center"/>
          </w:tcPr>
          <w:p>
            <w:pPr>
              <w:widowControl/>
              <w:shd w:val="clear" w:color="auto" w:fill="FFFFFF"/>
              <w:spacing w:line="560" w:lineRule="exact"/>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2591  </w:t>
            </w:r>
          </w:p>
        </w:tc>
        <w:tc>
          <w:tcPr>
            <w:tcW w:w="1539" w:type="dxa"/>
            <w:noWrap w:val="0"/>
            <w:vAlign w:val="center"/>
          </w:tcPr>
          <w:p>
            <w:pPr>
              <w:widowControl/>
              <w:shd w:val="clear" w:color="auto" w:fill="FFFFFF"/>
              <w:spacing w:line="560" w:lineRule="exact"/>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89" w:type="dxa"/>
            <w:noWrap w:val="0"/>
            <w:vAlign w:val="center"/>
          </w:tcPr>
          <w:p>
            <w:pPr>
              <w:widowControl/>
              <w:shd w:val="clear" w:color="auto" w:fill="FFFFFF"/>
              <w:spacing w:line="56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lang w:val="en-US" w:eastAsia="zh-CN"/>
              </w:rPr>
              <w:t>其中：</w:t>
            </w:r>
            <w:r>
              <w:rPr>
                <w:rFonts w:hint="eastAsia" w:ascii="仿宋" w:hAnsi="仿宋" w:eastAsia="仿宋" w:cs="宋体"/>
                <w:color w:val="000000"/>
                <w:kern w:val="0"/>
                <w:sz w:val="24"/>
                <w:szCs w:val="24"/>
                <w:lang w:val="en-US" w:eastAsia="zh-CN"/>
              </w:rPr>
              <w:t>报考数</w:t>
            </w:r>
          </w:p>
        </w:tc>
        <w:tc>
          <w:tcPr>
            <w:tcW w:w="1701" w:type="dxa"/>
            <w:noWrap w:val="0"/>
            <w:vAlign w:val="center"/>
          </w:tcPr>
          <w:p>
            <w:pPr>
              <w:widowControl/>
              <w:shd w:val="clear" w:color="auto" w:fill="FFFFFF"/>
              <w:spacing w:line="560" w:lineRule="exact"/>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1708</w:t>
            </w:r>
          </w:p>
        </w:tc>
        <w:tc>
          <w:tcPr>
            <w:tcW w:w="1701" w:type="dxa"/>
            <w:noWrap w:val="0"/>
            <w:vAlign w:val="center"/>
          </w:tcPr>
          <w:p>
            <w:pPr>
              <w:widowControl/>
              <w:shd w:val="clear" w:color="auto" w:fill="FFFFFF"/>
              <w:spacing w:line="560" w:lineRule="exact"/>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2681</w:t>
            </w:r>
          </w:p>
        </w:tc>
        <w:tc>
          <w:tcPr>
            <w:tcW w:w="1539" w:type="dxa"/>
            <w:noWrap w:val="0"/>
            <w:vAlign w:val="center"/>
          </w:tcPr>
          <w:p>
            <w:pPr>
              <w:widowControl/>
              <w:shd w:val="clear" w:color="auto" w:fill="FFFFFF"/>
              <w:spacing w:line="560" w:lineRule="exact"/>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4800</w:t>
            </w:r>
          </w:p>
        </w:tc>
      </w:tr>
    </w:tbl>
    <w:p>
      <w:pPr>
        <w:widowControl/>
        <w:shd w:val="clear" w:color="auto" w:fill="FFFFFF"/>
        <w:spacing w:line="560" w:lineRule="exact"/>
        <w:ind w:firstLine="600" w:firstLineChars="200"/>
        <w:jc w:val="left"/>
        <w:rPr>
          <w:rFonts w:hint="eastAsia" w:ascii="仿宋_GB2312" w:hAnsi="仿宋_GB2312" w:eastAsia="仿宋_GB2312" w:cs="仿宋_GB2312"/>
          <w:color w:val="000000"/>
          <w:kern w:val="0"/>
          <w:sz w:val="30"/>
          <w:szCs w:val="30"/>
          <w:lang w:val="en-US" w:eastAsia="zh-CN"/>
        </w:rPr>
      </w:pPr>
      <w:r>
        <w:rPr>
          <w:rFonts w:hint="eastAsia" w:ascii="楷体_GB2312" w:hAnsi="楷体_GB2312" w:eastAsia="楷体_GB2312" w:cs="楷体_GB2312"/>
          <w:color w:val="000000"/>
          <w:kern w:val="0"/>
          <w:sz w:val="30"/>
          <w:szCs w:val="30"/>
          <w:lang w:val="en-US" w:eastAsia="zh-CN"/>
        </w:rPr>
        <w:t>3</w:t>
      </w:r>
      <w:r>
        <w:rPr>
          <w:rFonts w:hint="eastAsia" w:ascii="楷体_GB2312" w:hAnsi="楷体_GB2312" w:eastAsia="楷体_GB2312" w:cs="楷体_GB2312"/>
          <w:color w:val="000000"/>
          <w:kern w:val="0"/>
          <w:sz w:val="30"/>
          <w:szCs w:val="30"/>
        </w:rPr>
        <w:t>.毕业生就业率</w:t>
      </w:r>
    </w:p>
    <w:p>
      <w:pPr>
        <w:pStyle w:val="4"/>
        <w:ind w:firstLine="600" w:firstLineChars="200"/>
        <w:rPr>
          <w:rFonts w:hint="eastAsia" w:ascii="仿宋_GB2312" w:hAnsi="仿宋_GB2312" w:eastAsia="仿宋_GB2312" w:cs="仿宋_GB2312"/>
          <w:color w:val="000000"/>
          <w:kern w:val="0"/>
          <w:sz w:val="30"/>
          <w:szCs w:val="30"/>
        </w:rPr>
      </w:pPr>
      <w:r>
        <w:rPr>
          <w:rFonts w:hint="eastAsia" w:ascii="仿宋" w:hAnsi="仿宋" w:eastAsia="仿宋" w:cs="仿宋"/>
          <w:sz w:val="30"/>
          <w:szCs w:val="30"/>
        </w:rPr>
        <w:t>毕业生就业率、就业质量和薪酬率</w:t>
      </w:r>
      <w:r>
        <w:rPr>
          <w:rFonts w:hint="eastAsia" w:ascii="仿宋" w:hAnsi="仿宋" w:eastAsia="仿宋" w:cs="仿宋"/>
          <w:sz w:val="30"/>
          <w:szCs w:val="30"/>
          <w:lang w:eastAsia="zh-CN"/>
        </w:rPr>
        <w:t>较</w:t>
      </w:r>
      <w:r>
        <w:rPr>
          <w:rFonts w:hint="eastAsia" w:ascii="仿宋" w:hAnsi="仿宋" w:eastAsia="仿宋" w:cs="仿宋"/>
          <w:sz w:val="30"/>
          <w:szCs w:val="30"/>
        </w:rPr>
        <w:t>高，连续三年就业率超过95%，就业对口率达到</w:t>
      </w:r>
      <w:r>
        <w:rPr>
          <w:rFonts w:hint="eastAsia" w:ascii="仿宋" w:hAnsi="仿宋" w:eastAsia="仿宋" w:cs="仿宋"/>
          <w:sz w:val="30"/>
          <w:szCs w:val="30"/>
          <w:lang w:val="en-US" w:eastAsia="zh-CN"/>
        </w:rPr>
        <w:t>60</w:t>
      </w:r>
      <w:r>
        <w:rPr>
          <w:rFonts w:hint="eastAsia" w:ascii="仿宋" w:hAnsi="仿宋" w:eastAsia="仿宋" w:cs="仿宋"/>
          <w:sz w:val="30"/>
          <w:szCs w:val="30"/>
        </w:rPr>
        <w:t>%，毕业生留在本地的就业比例达</w:t>
      </w:r>
      <w:r>
        <w:rPr>
          <w:rFonts w:hint="eastAsia" w:ascii="仿宋" w:hAnsi="仿宋" w:eastAsia="仿宋" w:cs="仿宋"/>
          <w:sz w:val="30"/>
          <w:szCs w:val="30"/>
          <w:lang w:val="en-US" w:eastAsia="zh-CN"/>
        </w:rPr>
        <w:t>42.7</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为山东省和菏泽市经济建设作出重大贡献。</w:t>
      </w:r>
      <w:r>
        <w:rPr>
          <w:rFonts w:hint="eastAsia" w:ascii="仿宋" w:hAnsi="仿宋" w:eastAsia="仿宋" w:cs="仿宋"/>
          <w:sz w:val="30"/>
          <w:szCs w:val="30"/>
        </w:rPr>
        <w:t>社会对学生满意度</w:t>
      </w:r>
      <w:r>
        <w:rPr>
          <w:rFonts w:hint="eastAsia" w:ascii="仿宋" w:hAnsi="仿宋" w:eastAsia="仿宋" w:cs="仿宋"/>
          <w:sz w:val="30"/>
          <w:szCs w:val="30"/>
          <w:lang w:eastAsia="zh-CN"/>
        </w:rPr>
        <w:t>也较</w:t>
      </w:r>
      <w:r>
        <w:rPr>
          <w:rFonts w:hint="eastAsia" w:ascii="仿宋" w:hAnsi="仿宋" w:eastAsia="仿宋" w:cs="仿宋"/>
          <w:sz w:val="30"/>
          <w:szCs w:val="30"/>
        </w:rPr>
        <w:t>高，</w:t>
      </w:r>
      <w:r>
        <w:rPr>
          <w:rFonts w:hint="eastAsia" w:ascii="仿宋" w:hAnsi="仿宋" w:eastAsia="仿宋" w:cs="仿宋"/>
          <w:sz w:val="30"/>
          <w:szCs w:val="30"/>
          <w:lang w:eastAsia="zh-CN"/>
        </w:rPr>
        <w:t>学生的工作状态和专业能力受到肯定，</w:t>
      </w:r>
      <w:r>
        <w:rPr>
          <w:rFonts w:hint="eastAsia" w:ascii="仿宋" w:hAnsi="仿宋" w:eastAsia="仿宋" w:cs="仿宋"/>
          <w:sz w:val="30"/>
          <w:szCs w:val="30"/>
        </w:rPr>
        <w:t>社会用人单位对毕业生总体满意率超</w:t>
      </w:r>
      <w:r>
        <w:rPr>
          <w:rFonts w:hint="eastAsia" w:ascii="仿宋" w:hAnsi="仿宋" w:eastAsia="仿宋" w:cs="仿宋"/>
          <w:sz w:val="30"/>
          <w:szCs w:val="30"/>
          <w:lang w:eastAsia="zh-CN"/>
        </w:rPr>
        <w:t>过</w:t>
      </w:r>
      <w:r>
        <w:rPr>
          <w:rFonts w:hint="eastAsia" w:ascii="仿宋" w:hAnsi="仿宋" w:eastAsia="仿宋" w:cs="仿宋"/>
          <w:sz w:val="30"/>
          <w:szCs w:val="30"/>
        </w:rPr>
        <w:t>90%</w:t>
      </w:r>
      <w:r>
        <w:rPr>
          <w:rFonts w:hint="eastAsia" w:ascii="仿宋" w:hAnsi="仿宋" w:eastAsia="仿宋" w:cs="仿宋"/>
          <w:sz w:val="30"/>
          <w:szCs w:val="30"/>
          <w:lang w:eastAsia="zh-CN"/>
        </w:rPr>
        <w:t>。毕业生就业情况体现了学校在人才培养方面取得了较好的成果，</w:t>
      </w:r>
      <w:r>
        <w:rPr>
          <w:rFonts w:hint="eastAsia" w:ascii="仿宋" w:hAnsi="仿宋" w:eastAsia="仿宋" w:cs="仿宋"/>
          <w:sz w:val="30"/>
          <w:szCs w:val="30"/>
        </w:rPr>
        <w:t>为区域经济发展培养</w:t>
      </w:r>
      <w:r>
        <w:rPr>
          <w:rFonts w:hint="eastAsia" w:ascii="仿宋" w:hAnsi="仿宋" w:eastAsia="仿宋" w:cs="仿宋"/>
          <w:sz w:val="30"/>
          <w:szCs w:val="30"/>
          <w:lang w:eastAsia="zh-CN"/>
        </w:rPr>
        <w:t>的</w:t>
      </w:r>
      <w:r>
        <w:rPr>
          <w:rFonts w:hint="eastAsia" w:ascii="仿宋" w:hAnsi="仿宋" w:eastAsia="仿宋" w:cs="仿宋"/>
          <w:sz w:val="30"/>
          <w:szCs w:val="30"/>
        </w:rPr>
        <w:t>素质</w:t>
      </w:r>
      <w:r>
        <w:rPr>
          <w:rFonts w:hint="eastAsia" w:ascii="仿宋" w:hAnsi="仿宋" w:eastAsia="仿宋" w:cs="仿宋"/>
          <w:sz w:val="30"/>
          <w:szCs w:val="30"/>
          <w:lang w:val="en-US" w:eastAsia="zh-CN"/>
        </w:rPr>
        <w:t>高</w:t>
      </w:r>
      <w:r>
        <w:rPr>
          <w:rFonts w:hint="eastAsia" w:ascii="仿宋" w:hAnsi="仿宋" w:eastAsia="仿宋" w:cs="仿宋"/>
          <w:sz w:val="30"/>
          <w:szCs w:val="30"/>
          <w:lang w:eastAsia="zh-CN"/>
        </w:rPr>
        <w:t>、技术</w:t>
      </w:r>
      <w:r>
        <w:rPr>
          <w:rFonts w:hint="eastAsia" w:ascii="仿宋" w:hAnsi="仿宋" w:eastAsia="仿宋" w:cs="仿宋"/>
          <w:sz w:val="30"/>
          <w:szCs w:val="30"/>
          <w:lang w:val="en-US" w:eastAsia="zh-CN"/>
        </w:rPr>
        <w:t>新</w:t>
      </w:r>
      <w:r>
        <w:rPr>
          <w:rFonts w:hint="eastAsia" w:ascii="仿宋" w:hAnsi="仿宋" w:eastAsia="仿宋" w:cs="仿宋"/>
          <w:sz w:val="30"/>
          <w:szCs w:val="30"/>
          <w:lang w:eastAsia="zh-CN"/>
        </w:rPr>
        <w:t>、技能</w:t>
      </w:r>
      <w:r>
        <w:rPr>
          <w:rFonts w:hint="eastAsia" w:ascii="仿宋" w:hAnsi="仿宋" w:eastAsia="仿宋" w:cs="仿宋"/>
          <w:sz w:val="30"/>
          <w:szCs w:val="30"/>
          <w:lang w:val="en-US" w:eastAsia="zh-CN"/>
        </w:rPr>
        <w:t>强</w:t>
      </w:r>
      <w:r>
        <w:rPr>
          <w:rFonts w:hint="eastAsia" w:ascii="仿宋" w:hAnsi="仿宋" w:eastAsia="仿宋" w:cs="仿宋"/>
          <w:sz w:val="30"/>
          <w:szCs w:val="30"/>
          <w:lang w:eastAsia="zh-CN"/>
        </w:rPr>
        <w:t>的复合型</w:t>
      </w:r>
      <w:r>
        <w:rPr>
          <w:rFonts w:hint="eastAsia" w:ascii="仿宋" w:hAnsi="仿宋" w:eastAsia="仿宋" w:cs="仿宋"/>
          <w:sz w:val="30"/>
          <w:szCs w:val="30"/>
        </w:rPr>
        <w:t>人才</w:t>
      </w:r>
      <w:r>
        <w:rPr>
          <w:rFonts w:hint="eastAsia" w:ascii="仿宋" w:hAnsi="仿宋" w:eastAsia="仿宋" w:cs="仿宋"/>
          <w:sz w:val="30"/>
          <w:szCs w:val="30"/>
          <w:lang w:eastAsia="zh-CN"/>
        </w:rPr>
        <w:t>有着强劲的社会竞争力</w:t>
      </w:r>
      <w:r>
        <w:rPr>
          <w:rFonts w:hint="eastAsia" w:ascii="仿宋" w:hAnsi="仿宋" w:eastAsia="仿宋" w:cs="仿宋"/>
          <w:sz w:val="30"/>
          <w:szCs w:val="30"/>
        </w:rPr>
        <w:t>。</w:t>
      </w:r>
    </w:p>
    <w:p>
      <w:pPr>
        <w:widowControl/>
        <w:numPr>
          <w:ilvl w:val="0"/>
          <w:numId w:val="2"/>
        </w:numPr>
        <w:shd w:val="clear" w:color="auto" w:fill="FFFFFF"/>
        <w:spacing w:line="240" w:lineRule="auto"/>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社会服务能力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eastAsia="zh-CN"/>
        </w:rPr>
        <w:t>学校</w:t>
      </w:r>
      <w:r>
        <w:rPr>
          <w:rFonts w:hint="eastAsia" w:ascii="仿宋" w:hAnsi="仿宋" w:eastAsia="仿宋" w:cs="仿宋"/>
          <w:color w:val="auto"/>
          <w:sz w:val="30"/>
          <w:szCs w:val="30"/>
        </w:rPr>
        <w:t>积极开展高校毕业生、退役军人、农民工、去产能分流职工、建档立卡贫困劳动力、残疾人就业创业培训，大力开展失业人员再就业培训，重点开展紧缺领域、大数据及人工智能等新技术领域、乡村振兴领域所需技术技能人才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40" w:lineRule="auto"/>
        <w:ind w:right="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学校</w:t>
      </w:r>
      <w:r>
        <w:rPr>
          <w:rFonts w:hint="eastAsia" w:ascii="仿宋" w:hAnsi="仿宋" w:eastAsia="仿宋" w:cs="仿宋"/>
          <w:color w:val="auto"/>
          <w:sz w:val="30"/>
          <w:szCs w:val="30"/>
        </w:rPr>
        <w:t>成立退役军人教育学院，为全市退役军人提供学历教育和职业技能培训，为退役军人求学就业开辟直通服务；成立继续教育学院，组织学历提升教育1000余人，</w:t>
      </w:r>
      <w:r>
        <w:rPr>
          <w:rFonts w:hint="eastAsia" w:ascii="仿宋" w:hAnsi="仿宋" w:eastAsia="仿宋" w:cs="仿宋"/>
          <w:color w:val="auto"/>
          <w:sz w:val="30"/>
          <w:szCs w:val="30"/>
          <w:lang w:val="en-US" w:eastAsia="zh-CN"/>
        </w:rPr>
        <w:t>2018年学校开展的各类职业培训达</w:t>
      </w: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000余人</w:t>
      </w:r>
      <w:r>
        <w:rPr>
          <w:rFonts w:hint="eastAsia" w:ascii="仿宋" w:hAnsi="仿宋" w:eastAsia="仿宋" w:cs="仿宋"/>
          <w:color w:val="auto"/>
          <w:sz w:val="30"/>
          <w:szCs w:val="30"/>
          <w:lang w:eastAsia="zh-CN"/>
        </w:rPr>
        <w:t>、</w:t>
      </w:r>
      <w:r>
        <w:rPr>
          <w:rFonts w:hint="eastAsia" w:ascii="仿宋_GB2312" w:hAnsi="仿宋_GB2312" w:eastAsia="仿宋_GB2312" w:cs="仿宋_GB2312"/>
          <w:kern w:val="0"/>
          <w:sz w:val="32"/>
          <w:szCs w:val="32"/>
        </w:rPr>
        <w:t>共计</w:t>
      </w:r>
      <w:r>
        <w:rPr>
          <w:rFonts w:hint="eastAsia" w:ascii="仿宋" w:hAnsi="仿宋" w:eastAsia="仿宋" w:cs="仿宋"/>
          <w:color w:val="auto"/>
          <w:sz w:val="30"/>
          <w:szCs w:val="30"/>
          <w:lang w:val="en-US" w:eastAsia="zh-CN"/>
        </w:rPr>
        <w:t>84800</w:t>
      </w:r>
      <w:r>
        <w:rPr>
          <w:rFonts w:hint="eastAsia" w:ascii="仿宋" w:hAnsi="仿宋" w:eastAsia="仿宋" w:cs="仿宋"/>
          <w:color w:val="auto"/>
          <w:sz w:val="30"/>
          <w:szCs w:val="30"/>
        </w:rPr>
        <w:t>人日</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承接全国会计资格、医师资格、计算机等级等社会化考试42820人次。拥有教育部1+X证书试点项目5个—电子商务、智能制造技术、BM技术、传感器技术、新能源汽车技术，全国职业技能考试站点5个--全国智能制造职业技能评价考试站、全国计算机等级考点、全国会计等级考点、全国卫生从业人员资格考点、全国银行从业人员资格考点。</w:t>
      </w:r>
    </w:p>
    <w:p>
      <w:pPr>
        <w:keepNext w:val="0"/>
        <w:keepLines w:val="0"/>
        <w:pageBreakBefore w:val="0"/>
        <w:tabs>
          <w:tab w:val="left" w:pos="848"/>
        </w:tabs>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学校将积极</w:t>
      </w:r>
      <w:r>
        <w:rPr>
          <w:rFonts w:hint="eastAsia" w:ascii="仿宋" w:hAnsi="仿宋" w:eastAsia="仿宋" w:cs="仿宋"/>
          <w:kern w:val="0"/>
          <w:sz w:val="30"/>
          <w:szCs w:val="30"/>
        </w:rPr>
        <w:t>落实学历教育与职业培训并举法定职责，以服务山东新旧动能转换为导向，精准对接菏泽231产业体系为支撑，全面助力菏泽建成鲁西崛起的新高地、全省新旧动能转换的示范区、鲁苏豫皖四省交界的区域性中心城市。</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rightChars="0" w:firstLine="600" w:firstLineChars="200"/>
        <w:rPr>
          <w:rFonts w:hint="eastAsia" w:ascii="黑体" w:hAnsi="黑体" w:eastAsia="黑体" w:cs="黑体"/>
          <w:color w:val="000000"/>
          <w:kern w:val="0"/>
          <w:sz w:val="30"/>
          <w:szCs w:val="30"/>
          <w:lang w:val="en-US" w:eastAsia="zh-CN"/>
        </w:rPr>
      </w:pPr>
      <w:r>
        <w:rPr>
          <w:rFonts w:hint="eastAsia" w:ascii="黑体" w:hAnsi="黑体" w:eastAsia="黑体" w:cs="黑体"/>
          <w:color w:val="000000"/>
          <w:kern w:val="0"/>
          <w:sz w:val="30"/>
          <w:szCs w:val="30"/>
          <w:lang w:val="en-US" w:eastAsia="zh-CN"/>
        </w:rPr>
        <w:t>六、存在的主要问题与改进措施</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rightChars="0" w:firstLine="600" w:firstLineChars="200"/>
        <w:rPr>
          <w:rFonts w:hint="eastAsia" w:ascii="楷体_GB2312" w:hAnsi="楷体_GB2312" w:eastAsia="楷体_GB2312" w:cs="楷体_GB2312"/>
          <w:color w:val="000000"/>
          <w:kern w:val="0"/>
          <w:sz w:val="30"/>
          <w:szCs w:val="30"/>
          <w:lang w:val="en-US" w:eastAsia="zh-CN" w:bidi="ar-SA"/>
        </w:rPr>
      </w:pPr>
      <w:r>
        <w:rPr>
          <w:rFonts w:hint="eastAsia" w:ascii="楷体_GB2312" w:hAnsi="楷体_GB2312" w:eastAsia="楷体_GB2312" w:cs="楷体_GB2312"/>
          <w:color w:val="000000"/>
          <w:kern w:val="0"/>
          <w:sz w:val="30"/>
          <w:szCs w:val="30"/>
          <w:lang w:val="en-US" w:eastAsia="zh-CN" w:bidi="ar-SA"/>
        </w:rPr>
        <w:t>1.存在的主要问题</w:t>
      </w:r>
    </w:p>
    <w:p>
      <w:pPr>
        <w:widowControl/>
        <w:numPr>
          <w:ilvl w:val="0"/>
          <w:numId w:val="0"/>
        </w:numPr>
        <w:shd w:val="clear" w:color="auto" w:fill="FFFFFF"/>
        <w:spacing w:line="240" w:lineRule="auto"/>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（1）基础设施和实训设备配套不够完善；</w:t>
      </w:r>
    </w:p>
    <w:p>
      <w:pPr>
        <w:widowControl/>
        <w:numPr>
          <w:ilvl w:val="0"/>
          <w:numId w:val="0"/>
        </w:numPr>
        <w:shd w:val="clear" w:color="auto" w:fill="FFFFFF"/>
        <w:spacing w:line="240" w:lineRule="auto"/>
        <w:jc w:val="left"/>
        <w:rPr>
          <w:rFonts w:hint="eastAsia" w:ascii="仿宋" w:hAnsi="仿宋" w:eastAsia="仿宋" w:cs="仿宋"/>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（2）专业优势不够突出，结构不尽合理；</w:t>
      </w:r>
    </w:p>
    <w:p>
      <w:pPr>
        <w:widowControl/>
        <w:numPr>
          <w:ilvl w:val="0"/>
          <w:numId w:val="0"/>
        </w:numPr>
        <w:shd w:val="clear" w:color="auto" w:fill="FFFFFF"/>
        <w:spacing w:line="240" w:lineRule="auto"/>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（3）师资队伍建设有待进一步加强。</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rightChars="0" w:firstLine="600" w:firstLineChars="200"/>
        <w:rPr>
          <w:rFonts w:hint="eastAsia" w:ascii="楷体" w:hAnsi="楷体" w:eastAsia="楷体" w:cs="楷体"/>
          <w:color w:val="000000"/>
          <w:kern w:val="0"/>
          <w:sz w:val="28"/>
          <w:szCs w:val="28"/>
          <w:lang w:val="en-US" w:eastAsia="zh-CN"/>
        </w:rPr>
      </w:pPr>
      <w:r>
        <w:rPr>
          <w:rFonts w:hint="eastAsia" w:ascii="楷体_GB2312" w:hAnsi="楷体_GB2312" w:eastAsia="楷体_GB2312" w:cs="楷体_GB2312"/>
          <w:color w:val="000000"/>
          <w:kern w:val="0"/>
          <w:sz w:val="30"/>
          <w:szCs w:val="30"/>
          <w:lang w:val="en-US" w:eastAsia="zh-CN"/>
        </w:rPr>
        <w:t>2.改进措施</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rightChars="0"/>
        <w:rPr>
          <w:rFonts w:hint="eastAsia" w:ascii="仿宋" w:hAnsi="仿宋" w:eastAsia="仿宋" w:cs="仿宋"/>
          <w:color w:val="000000"/>
          <w:kern w:val="0"/>
          <w:sz w:val="30"/>
          <w:szCs w:val="30"/>
          <w:lang w:val="en-US" w:eastAsia="zh-CN"/>
        </w:rPr>
      </w:pPr>
      <w:r>
        <w:rPr>
          <w:rFonts w:hint="eastAsia" w:ascii="楷体" w:hAnsi="楷体" w:eastAsia="楷体" w:cs="楷体"/>
          <w:color w:val="000000"/>
          <w:kern w:val="0"/>
          <w:sz w:val="30"/>
          <w:szCs w:val="30"/>
          <w:lang w:val="en-US" w:eastAsia="zh-CN"/>
        </w:rPr>
        <w:t>（1）加快基础设施和实训基地建设步伐，实现办学功能全面配套</w:t>
      </w:r>
      <w:r>
        <w:rPr>
          <w:rFonts w:hint="eastAsia" w:ascii="仿宋" w:hAnsi="仿宋" w:eastAsia="仿宋" w:cs="仿宋"/>
          <w:color w:val="000000"/>
          <w:kern w:val="0"/>
          <w:sz w:val="30"/>
          <w:szCs w:val="30"/>
          <w:lang w:val="en-US" w:eastAsia="zh-CN"/>
        </w:rPr>
        <w:t>。全面完成二期工程20余万平方米建设，加大校园安全硬件投入，确保硬件设施配套齐全、更新及时，形成规范高效的安全网络全覆盖体系，加快实训基地的建成和投入使用，为职业技能培训和实验实训提供坚实保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rightChars="0"/>
        <w:rPr>
          <w:rFonts w:hint="eastAsia" w:ascii="仿宋" w:hAnsi="仿宋" w:eastAsia="仿宋" w:cs="仿宋"/>
          <w:color w:val="000000"/>
          <w:kern w:val="0"/>
          <w:sz w:val="30"/>
          <w:szCs w:val="30"/>
          <w:lang w:val="en-US" w:eastAsia="zh-CN"/>
        </w:rPr>
      </w:pPr>
      <w:r>
        <w:rPr>
          <w:rFonts w:hint="eastAsia" w:ascii="楷体" w:hAnsi="楷体" w:eastAsia="楷体" w:cs="楷体"/>
          <w:color w:val="000000"/>
          <w:kern w:val="0"/>
          <w:sz w:val="30"/>
          <w:szCs w:val="30"/>
          <w:lang w:val="en-US" w:eastAsia="zh-CN"/>
        </w:rPr>
        <w:t>（2）立足社会行业需求和学生成长需要，不断优化专业布局，形成优势品牌专业</w:t>
      </w:r>
      <w:r>
        <w:rPr>
          <w:rFonts w:hint="eastAsia" w:ascii="仿宋" w:hAnsi="仿宋" w:eastAsia="仿宋" w:cs="仿宋"/>
          <w:color w:val="000000"/>
          <w:kern w:val="0"/>
          <w:sz w:val="30"/>
          <w:szCs w:val="30"/>
          <w:lang w:val="en-US" w:eastAsia="zh-CN"/>
        </w:rPr>
        <w:t>。抢抓部省共建职业教育创新发展高地机遇，紧跟山东省新旧动能转换“十强产业”发展战略和菏泽231特色产业体系建设，全力建设电商物流和人工智能两大品牌专业群，倾力提升信息技术和财经金融两大优势专业群，强力培育文化旅游专业和学前教育专业两大重点发展专业群，着力打造生化医药和建筑工程技术两大地方产业专业群，通力升级高端装备和新能源汽车两大新兴产业专业群，动态调整专业群结构，提升专业群内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rightChars="0"/>
        <w:rPr>
          <w:rFonts w:hint="eastAsia" w:ascii="黑体" w:hAnsi="黑体" w:eastAsia="黑体" w:cs="黑体"/>
          <w:color w:val="000000"/>
          <w:kern w:val="0"/>
          <w:sz w:val="30"/>
          <w:szCs w:val="30"/>
          <w:lang w:val="en-US" w:eastAsia="zh-CN"/>
        </w:rPr>
      </w:pPr>
      <w:r>
        <w:rPr>
          <w:rFonts w:hint="eastAsia" w:ascii="楷体" w:hAnsi="楷体" w:eastAsia="楷体" w:cs="楷体"/>
          <w:color w:val="000000"/>
          <w:kern w:val="0"/>
          <w:sz w:val="30"/>
          <w:szCs w:val="30"/>
          <w:lang w:val="en-US" w:eastAsia="zh-CN"/>
        </w:rPr>
        <w:t>（3）持续完善师资队伍建设相关制度和机制，强化人才引进和培养工作</w:t>
      </w:r>
      <w:r>
        <w:rPr>
          <w:rFonts w:hint="eastAsia" w:ascii="仿宋" w:hAnsi="仿宋" w:eastAsia="仿宋" w:cs="仿宋"/>
          <w:color w:val="000000"/>
          <w:kern w:val="0"/>
          <w:sz w:val="30"/>
          <w:szCs w:val="30"/>
          <w:lang w:val="en-US" w:eastAsia="zh-CN"/>
        </w:rPr>
        <w:t>。全面加强师德师风建设，推进教学改革与创新，全力解决教师缺口和学历结构问题，支持教师进行学历提升，强化教师培育培养培训工作，建立专业教师全员企业锻炼制度，大力加强双师型队伍建设和教学创新团队建设，招聘高层次业界优秀人才加入教师队伍，为学院高质量发展提供强有力的师资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firstLine="600" w:firstLineChars="200"/>
        <w:rPr>
          <w:rFonts w:hint="eastAsia" w:ascii="黑体" w:hAnsi="黑体" w:eastAsia="黑体" w:cs="黑体"/>
          <w:color w:val="000000"/>
          <w:kern w:val="0"/>
          <w:sz w:val="30"/>
          <w:szCs w:val="30"/>
          <w:lang w:val="en-US" w:eastAsia="zh-CN"/>
        </w:rPr>
      </w:pPr>
      <w:r>
        <w:rPr>
          <w:rFonts w:hint="eastAsia" w:ascii="黑体" w:hAnsi="黑体" w:eastAsia="黑体" w:cs="黑体"/>
          <w:color w:val="000000"/>
          <w:kern w:val="0"/>
          <w:sz w:val="30"/>
          <w:szCs w:val="30"/>
          <w:lang w:val="en-US" w:eastAsia="zh-CN"/>
        </w:rPr>
        <w:t>七</w:t>
      </w:r>
      <w:r>
        <w:rPr>
          <w:rFonts w:hint="eastAsia" w:ascii="黑体" w:hAnsi="黑体" w:eastAsia="黑体" w:cs="黑体"/>
          <w:color w:val="000000"/>
          <w:kern w:val="0"/>
          <w:sz w:val="30"/>
          <w:szCs w:val="30"/>
          <w:lang w:val="en-US" w:eastAsia="zh-CN" w:bidi="ar-SA"/>
        </w:rPr>
        <w:t>、未来展望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firstLine="600" w:firstLineChars="2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在上级党委政府的正确领导下，在教育主管部门的大力支持下，到2022年，菏泽职业学院将完成校舍建设、景观绿化建设、万花湖治理等基础设施建设，全面建成江北最美湖景大学，完成专业布局优化调整，科学规划十大专业群发展体系，建成国家级高水平产教融合公共实训基地，全面提升综合办学实力，紧盯“地方离不开、行业能认可、国际可交流”的职业院校办学价值取向，全力推进职业教育创新高地建设，争创鲁苏豫皖交界地区高水平高等职业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uto"/>
        <w:ind w:right="0" w:firstLine="600" w:firstLineChars="200"/>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b/>
          <w:bCs/>
          <w:color w:val="000000"/>
          <w:kern w:val="0"/>
          <w:sz w:val="30"/>
          <w:szCs w:val="30"/>
          <w:lang w:val="en-US" w:eastAsia="zh-CN"/>
        </w:rPr>
        <w:t xml:space="preserve"> 二0二0年十月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5942FF"/>
    <w:multiLevelType w:val="singleLevel"/>
    <w:tmpl w:val="8A5942FF"/>
    <w:lvl w:ilvl="0" w:tentative="0">
      <w:start w:val="5"/>
      <w:numFmt w:val="chineseCounting"/>
      <w:suff w:val="nothing"/>
      <w:lvlText w:val="%1、"/>
      <w:lvlJc w:val="left"/>
      <w:rPr>
        <w:rFonts w:hint="eastAsia"/>
      </w:rPr>
    </w:lvl>
  </w:abstractNum>
  <w:abstractNum w:abstractNumId="1">
    <w:nsid w:val="A092B693"/>
    <w:multiLevelType w:val="singleLevel"/>
    <w:tmpl w:val="A092B69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D5561"/>
    <w:rsid w:val="01166685"/>
    <w:rsid w:val="017F10B1"/>
    <w:rsid w:val="02FE1B0C"/>
    <w:rsid w:val="04A57B58"/>
    <w:rsid w:val="06066C9D"/>
    <w:rsid w:val="069360A3"/>
    <w:rsid w:val="08747C03"/>
    <w:rsid w:val="0A0864E3"/>
    <w:rsid w:val="0A51338E"/>
    <w:rsid w:val="0B0227AB"/>
    <w:rsid w:val="0C573EA4"/>
    <w:rsid w:val="0F5C6563"/>
    <w:rsid w:val="114F7D3F"/>
    <w:rsid w:val="1176266C"/>
    <w:rsid w:val="127E1C14"/>
    <w:rsid w:val="131A46D9"/>
    <w:rsid w:val="139A74C1"/>
    <w:rsid w:val="14163C0D"/>
    <w:rsid w:val="18023193"/>
    <w:rsid w:val="191569A3"/>
    <w:rsid w:val="191E5212"/>
    <w:rsid w:val="1B537884"/>
    <w:rsid w:val="1C07039F"/>
    <w:rsid w:val="1DE144EA"/>
    <w:rsid w:val="1E2A1842"/>
    <w:rsid w:val="20255CD0"/>
    <w:rsid w:val="2062604B"/>
    <w:rsid w:val="22607B1F"/>
    <w:rsid w:val="2278179E"/>
    <w:rsid w:val="22FC2524"/>
    <w:rsid w:val="25C70C86"/>
    <w:rsid w:val="25D932CA"/>
    <w:rsid w:val="260E3F88"/>
    <w:rsid w:val="26D044DE"/>
    <w:rsid w:val="271A436E"/>
    <w:rsid w:val="28C82CA9"/>
    <w:rsid w:val="2E492894"/>
    <w:rsid w:val="2F601E3D"/>
    <w:rsid w:val="302C0322"/>
    <w:rsid w:val="30400ADE"/>
    <w:rsid w:val="30F3396B"/>
    <w:rsid w:val="31E26F70"/>
    <w:rsid w:val="32AC335B"/>
    <w:rsid w:val="33131CAE"/>
    <w:rsid w:val="337C1918"/>
    <w:rsid w:val="33A9341E"/>
    <w:rsid w:val="35660CA4"/>
    <w:rsid w:val="35AF4C6D"/>
    <w:rsid w:val="36584EC2"/>
    <w:rsid w:val="372F12B0"/>
    <w:rsid w:val="37931592"/>
    <w:rsid w:val="37AD2F5E"/>
    <w:rsid w:val="3B86381F"/>
    <w:rsid w:val="3BF1443F"/>
    <w:rsid w:val="3C4C7502"/>
    <w:rsid w:val="3D9825E0"/>
    <w:rsid w:val="3D9B4D70"/>
    <w:rsid w:val="3E23001B"/>
    <w:rsid w:val="3E7B00DA"/>
    <w:rsid w:val="3F4F08BD"/>
    <w:rsid w:val="3FB14256"/>
    <w:rsid w:val="40D441C8"/>
    <w:rsid w:val="40F3459E"/>
    <w:rsid w:val="429F3004"/>
    <w:rsid w:val="42C77042"/>
    <w:rsid w:val="430522B0"/>
    <w:rsid w:val="43053E05"/>
    <w:rsid w:val="4420402D"/>
    <w:rsid w:val="45972065"/>
    <w:rsid w:val="463D5A33"/>
    <w:rsid w:val="46445F89"/>
    <w:rsid w:val="467379E4"/>
    <w:rsid w:val="489B33AE"/>
    <w:rsid w:val="497561B0"/>
    <w:rsid w:val="4CB82AE5"/>
    <w:rsid w:val="4E3125B9"/>
    <w:rsid w:val="50A352EC"/>
    <w:rsid w:val="51335C7F"/>
    <w:rsid w:val="514D04C6"/>
    <w:rsid w:val="51C31C6C"/>
    <w:rsid w:val="53097488"/>
    <w:rsid w:val="53EB7C22"/>
    <w:rsid w:val="551A34DD"/>
    <w:rsid w:val="56352E68"/>
    <w:rsid w:val="579A7AE0"/>
    <w:rsid w:val="598A6DE2"/>
    <w:rsid w:val="5AB96857"/>
    <w:rsid w:val="5E937438"/>
    <w:rsid w:val="60DC783E"/>
    <w:rsid w:val="616115A2"/>
    <w:rsid w:val="631D2471"/>
    <w:rsid w:val="66AC3361"/>
    <w:rsid w:val="67A3430A"/>
    <w:rsid w:val="69B75494"/>
    <w:rsid w:val="6A1B349D"/>
    <w:rsid w:val="6BA267EE"/>
    <w:rsid w:val="6D465188"/>
    <w:rsid w:val="6D4D5561"/>
    <w:rsid w:val="6D615BD9"/>
    <w:rsid w:val="6DD06625"/>
    <w:rsid w:val="6DEF7D72"/>
    <w:rsid w:val="6FF2602F"/>
    <w:rsid w:val="72141CA1"/>
    <w:rsid w:val="74471B81"/>
    <w:rsid w:val="758C6071"/>
    <w:rsid w:val="758F4E74"/>
    <w:rsid w:val="75991E71"/>
    <w:rsid w:val="7661597A"/>
    <w:rsid w:val="78037B9D"/>
    <w:rsid w:val="79561149"/>
    <w:rsid w:val="7A414A2D"/>
    <w:rsid w:val="7CB158AE"/>
    <w:rsid w:val="7E5C2FBF"/>
    <w:rsid w:val="7EF71D14"/>
    <w:rsid w:val="7F19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pPr>
    <w:rPr>
      <w:rFonts w:ascii="宋体" w:hAnsi="宋体" w:eastAsia="宋体" w:cs="宋体"/>
      <w:sz w:val="24"/>
      <w:szCs w:val="24"/>
      <w:lang w:val="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2020-09-01T08:05:00Z</dcterms:created>
  <dc:creator>Administrator</dc:creator>
  <cp:lastModifiedBy>Administrator</cp:lastModifiedBy>
  <cp:lastPrinted>2020-10-13T08:51:00Z</cp:lastPrinted>
  <dcterms:modified xsi:type="dcterms:W3CDTF">2020-10-19T00:48:05Z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